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183B9B92" w14:textId="7EC1AC97" w:rsidR="00860FE3" w:rsidRPr="0045534E" w:rsidRDefault="00860FE3" w:rsidP="00860FE3">
      <w:pPr>
        <w:widowControl w:val="0"/>
        <w:rPr>
          <w:rFonts w:ascii="Arial" w:eastAsia="Calibri" w:hAnsi="Arial" w:cs="Arial"/>
          <w:b/>
          <w:color w:val="000000"/>
        </w:rPr>
      </w:pPr>
      <w:r w:rsidRPr="0045534E">
        <w:rPr>
          <w:rFonts w:ascii="Arial" w:eastAsia="Calibri" w:hAnsi="Arial" w:cs="Arial"/>
          <w:b/>
          <w:color w:val="000000"/>
        </w:rPr>
        <w:t>Rekonstrukce mostu ev. č. TRU-227</w:t>
      </w:r>
      <w:r w:rsidR="0061472D">
        <w:rPr>
          <w:rFonts w:ascii="Arial" w:eastAsia="Calibri" w:hAnsi="Arial" w:cs="Arial"/>
          <w:b/>
          <w:color w:val="000000"/>
        </w:rPr>
        <w:t xml:space="preserve"> Libeč II</w:t>
      </w:r>
    </w:p>
    <w:p w14:paraId="01A8B141" w14:textId="7C677EF7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61472D">
        <w:rPr>
          <w:rFonts w:ascii="Arial" w:hAnsi="Arial" w:cs="Arial"/>
          <w:bCs/>
          <w:sz w:val="20"/>
          <w:szCs w:val="20"/>
          <w:shd w:val="clear" w:color="auto" w:fill="FFFFFF"/>
        </w:rPr>
        <w:t>99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514D"/>
    <w:rsid w:val="00380B5A"/>
    <w:rsid w:val="003A5043"/>
    <w:rsid w:val="003A5DC0"/>
    <w:rsid w:val="003D561A"/>
    <w:rsid w:val="004124D5"/>
    <w:rsid w:val="004335C1"/>
    <w:rsid w:val="00450C9F"/>
    <w:rsid w:val="0045534E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1472D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60FE3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20007"/>
    <w:rsid w:val="00C655B0"/>
    <w:rsid w:val="00C73CAE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A83-DB9A-43CF-B374-D2F0467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2025-08-18T14:10:00Z</dcterms:modified>
</cp:coreProperties>
</file>