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C3E54" w14:textId="7FF39F3E" w:rsidR="00C425DE" w:rsidRPr="002B3773" w:rsidRDefault="00C425DE" w:rsidP="00EB30E2">
      <w:r>
        <w:rPr>
          <w:sz w:val="24"/>
          <w:szCs w:val="24"/>
        </w:rPr>
        <w:t xml:space="preserve">Název akce: </w:t>
      </w:r>
      <w:r w:rsidR="00EB30E2">
        <w:rPr>
          <w:sz w:val="24"/>
        </w:rPr>
        <w:t>Trutnov</w:t>
      </w:r>
      <w:r w:rsidR="00EB30E2">
        <w:t xml:space="preserve"> – D</w:t>
      </w:r>
      <w:r w:rsidR="006C0C15">
        <w:t>PS</w:t>
      </w:r>
      <w:r w:rsidR="00EB30E2">
        <w:t xml:space="preserve"> Humlův dvůr – altán</w:t>
      </w:r>
    </w:p>
    <w:p w14:paraId="608FCA12" w14:textId="689294C9" w:rsidR="00C425DE" w:rsidRPr="00EB30E2" w:rsidRDefault="00C425DE" w:rsidP="00C425DE">
      <w:pPr>
        <w:autoSpaceDE w:val="0"/>
        <w:autoSpaceDN w:val="0"/>
        <w:adjustRightInd w:val="0"/>
        <w:jc w:val="left"/>
      </w:pPr>
      <w:r>
        <w:rPr>
          <w:sz w:val="24"/>
          <w:szCs w:val="24"/>
        </w:rPr>
        <w:t xml:space="preserve">Stavebník: </w:t>
      </w:r>
      <w:r w:rsidR="00EB30E2">
        <w:t>Město Trutnov</w:t>
      </w:r>
      <w:r w:rsidR="00EB30E2" w:rsidRPr="00FA6CC9">
        <w:t xml:space="preserve">, </w:t>
      </w:r>
      <w:r w:rsidR="00EB30E2">
        <w:t>Slovanské náměstí 165</w:t>
      </w:r>
      <w:r w:rsidR="00EB30E2" w:rsidRPr="00FA6CC9">
        <w:t xml:space="preserve">, </w:t>
      </w:r>
      <w:r w:rsidR="00EB30E2">
        <w:t>541 01 Trutnov</w:t>
      </w:r>
      <w:r w:rsidR="00EB30E2" w:rsidRPr="00FA6CC9">
        <w:t>, IČ</w:t>
      </w:r>
      <w:r w:rsidR="00EB30E2">
        <w:t>O</w:t>
      </w:r>
      <w:r w:rsidR="00EB30E2" w:rsidRPr="00FA6CC9">
        <w:t xml:space="preserve">: </w:t>
      </w:r>
      <w:r w:rsidR="00EB30E2">
        <w:t>00278306</w:t>
      </w:r>
    </w:p>
    <w:p w14:paraId="0747FF2A" w14:textId="77777777" w:rsidR="00C425DE" w:rsidRPr="00D34750" w:rsidRDefault="00C425DE" w:rsidP="00C425DE">
      <w:pPr>
        <w:autoSpaceDE w:val="0"/>
        <w:autoSpaceDN w:val="0"/>
        <w:adjustRightInd w:val="0"/>
        <w:jc w:val="left"/>
      </w:pPr>
      <w:r>
        <w:rPr>
          <w:sz w:val="24"/>
          <w:szCs w:val="24"/>
        </w:rPr>
        <w:t xml:space="preserve">Projektant: </w:t>
      </w:r>
      <w:r w:rsidRPr="00D34750">
        <w:t>ATIP a.s., Pražská 169, 541 01, Trutnov</w:t>
      </w:r>
    </w:p>
    <w:p w14:paraId="7014B3F0" w14:textId="363B9B0F" w:rsidR="00C425DE" w:rsidRPr="00D34750" w:rsidRDefault="00C425DE" w:rsidP="00C425DE">
      <w:r>
        <w:rPr>
          <w:sz w:val="24"/>
          <w:szCs w:val="24"/>
        </w:rPr>
        <w:t xml:space="preserve">Objekt (SO)/Provozní soubor (PS): </w:t>
      </w:r>
      <w:r w:rsidRPr="00D34750">
        <w:t>SO-0</w:t>
      </w:r>
      <w:r w:rsidR="006C0C15">
        <w:t>1</w:t>
      </w:r>
    </w:p>
    <w:p w14:paraId="6547FB8A" w14:textId="5E85793B" w:rsidR="00C425DE" w:rsidRDefault="00C425DE" w:rsidP="00C425DE">
      <w:pPr>
        <w:rPr>
          <w:sz w:val="24"/>
          <w:szCs w:val="24"/>
        </w:rPr>
      </w:pPr>
      <w:r>
        <w:rPr>
          <w:sz w:val="24"/>
          <w:szCs w:val="24"/>
        </w:rPr>
        <w:t>Díl/Profese:</w:t>
      </w:r>
      <w:r w:rsidR="00994DD6">
        <w:rPr>
          <w:sz w:val="24"/>
          <w:szCs w:val="24"/>
        </w:rPr>
        <w:t xml:space="preserve"> </w:t>
      </w:r>
      <w:r w:rsidRPr="00D34750">
        <w:t>AR – Architektonicko-stavební řešení</w:t>
      </w:r>
    </w:p>
    <w:p w14:paraId="1589D8FE" w14:textId="77777777" w:rsidR="00C425DE" w:rsidRDefault="00C425DE" w:rsidP="00C425DE">
      <w:r>
        <w:rPr>
          <w:sz w:val="24"/>
          <w:szCs w:val="24"/>
        </w:rPr>
        <w:t xml:space="preserve">Stupeň dokumentace: </w:t>
      </w:r>
      <w:r w:rsidRPr="00D34750">
        <w:t>Dokumentace ke společnému řízení</w:t>
      </w:r>
    </w:p>
    <w:p w14:paraId="3D99BFB4" w14:textId="77777777" w:rsidR="00C13651" w:rsidRDefault="00C13651"/>
    <w:p w14:paraId="4E5C3F5F" w14:textId="77777777" w:rsidR="00C13651" w:rsidRDefault="00C13651"/>
    <w:p w14:paraId="43F7F754" w14:textId="77777777" w:rsidR="00C13651" w:rsidRDefault="00C13651">
      <w:pPr>
        <w:pStyle w:val="Nadpis5"/>
      </w:pPr>
      <w:r>
        <w:t>Technická zpráva</w:t>
      </w:r>
    </w:p>
    <w:p w14:paraId="1AD826DD" w14:textId="77777777" w:rsidR="00C13651" w:rsidRDefault="00C13651"/>
    <w:p w14:paraId="71579B7D" w14:textId="77777777" w:rsidR="00C13651" w:rsidRDefault="00C13651"/>
    <w:p w14:paraId="48F4F4E2" w14:textId="77777777" w:rsidR="00C13651" w:rsidRDefault="00C13651"/>
    <w:p w14:paraId="78636049" w14:textId="77777777" w:rsidR="00C13651" w:rsidRDefault="00C13651">
      <w:pPr>
        <w:rPr>
          <w:b/>
          <w:bCs/>
        </w:rPr>
      </w:pPr>
      <w:r>
        <w:rPr>
          <w:b/>
          <w:bCs/>
        </w:rPr>
        <w:t>Obsah:</w:t>
      </w:r>
    </w:p>
    <w:p w14:paraId="1771B6B9" w14:textId="77777777" w:rsidR="00C13651" w:rsidRDefault="00C13651">
      <w:pPr>
        <w:rPr>
          <w:b/>
          <w:bCs/>
        </w:rPr>
      </w:pPr>
    </w:p>
    <w:p w14:paraId="20798C2F" w14:textId="5D7054D5" w:rsidR="00D34750" w:rsidRDefault="00C13651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r w:rsidRPr="00C425DE">
        <w:rPr>
          <w:sz w:val="20"/>
          <w:szCs w:val="20"/>
        </w:rPr>
        <w:fldChar w:fldCharType="begin"/>
      </w:r>
      <w:r w:rsidRPr="00C425DE">
        <w:rPr>
          <w:sz w:val="20"/>
          <w:szCs w:val="20"/>
        </w:rPr>
        <w:instrText xml:space="preserve"> TOC \o "1-3" \h \z </w:instrText>
      </w:r>
      <w:r w:rsidRPr="00C425DE">
        <w:rPr>
          <w:sz w:val="20"/>
          <w:szCs w:val="20"/>
        </w:rPr>
        <w:fldChar w:fldCharType="separate"/>
      </w:r>
      <w:hyperlink w:anchor="_Toc126580830" w:history="1">
        <w:r w:rsidR="00D34750" w:rsidRPr="00722FDC">
          <w:rPr>
            <w:rStyle w:val="Hypertextovodkaz"/>
            <w:noProof/>
          </w:rPr>
          <w:t>Architektonické, výtvarné, materiálové, dispoziční a provozní řešení, bezbariérové užívání stavby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_Toc126580830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1</w:t>
        </w:r>
        <w:r w:rsidR="00D34750">
          <w:rPr>
            <w:noProof/>
            <w:webHidden/>
          </w:rPr>
          <w:fldChar w:fldCharType="end"/>
        </w:r>
      </w:hyperlink>
    </w:p>
    <w:p w14:paraId="7203A2CA" w14:textId="60E1DF87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1" w:history="1">
        <w:r w:rsidR="00D34750" w:rsidRPr="00722FDC">
          <w:rPr>
            <w:rStyle w:val="Hypertextovodkaz"/>
            <w:rFonts w:cs="Times New Roman"/>
            <w:noProof/>
          </w:rPr>
          <w:t>1.1</w:t>
        </w:r>
        <w:r w:rsidR="00D34750" w:rsidRPr="00722FDC">
          <w:rPr>
            <w:rStyle w:val="Hypertextovodkaz"/>
            <w:noProof/>
          </w:rPr>
          <w:t xml:space="preserve"> architektonické a výtvarné řešení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_Toc126580831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1</w:t>
        </w:r>
        <w:r w:rsidR="00D34750">
          <w:rPr>
            <w:noProof/>
            <w:webHidden/>
          </w:rPr>
          <w:fldChar w:fldCharType="end"/>
        </w:r>
      </w:hyperlink>
    </w:p>
    <w:p w14:paraId="108916AC" w14:textId="7E2646B6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2" w:history="1">
        <w:r w:rsidR="00D34750" w:rsidRPr="00722FDC">
          <w:rPr>
            <w:rStyle w:val="Hypertextovodkaz"/>
            <w:rFonts w:cs="Times New Roman"/>
            <w:noProof/>
          </w:rPr>
          <w:t>1.2</w:t>
        </w:r>
        <w:r w:rsidR="00D34750" w:rsidRPr="00722FDC">
          <w:rPr>
            <w:rStyle w:val="Hypertextovodkaz"/>
            <w:noProof/>
          </w:rPr>
          <w:t xml:space="preserve"> materiálové řešení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_Toc126580832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1</w:t>
        </w:r>
        <w:r w:rsidR="00D34750">
          <w:rPr>
            <w:noProof/>
            <w:webHidden/>
          </w:rPr>
          <w:fldChar w:fldCharType="end"/>
        </w:r>
      </w:hyperlink>
    </w:p>
    <w:p w14:paraId="76377E8D" w14:textId="1EEF4307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3" w:history="1">
        <w:r w:rsidR="00D34750" w:rsidRPr="00722FDC">
          <w:rPr>
            <w:rStyle w:val="Hypertextovodkaz"/>
            <w:rFonts w:cs="Times New Roman"/>
            <w:noProof/>
          </w:rPr>
          <w:t>1.3</w:t>
        </w:r>
        <w:r w:rsidR="00D34750" w:rsidRPr="00722FDC">
          <w:rPr>
            <w:rStyle w:val="Hypertextovodkaz"/>
            <w:noProof/>
          </w:rPr>
          <w:t xml:space="preserve"> dispoziční a provozní řešení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_Toc126580833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1</w:t>
        </w:r>
        <w:r w:rsidR="00D34750">
          <w:rPr>
            <w:noProof/>
            <w:webHidden/>
          </w:rPr>
          <w:fldChar w:fldCharType="end"/>
        </w:r>
      </w:hyperlink>
    </w:p>
    <w:p w14:paraId="49FEDEA8" w14:textId="098F6352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4" w:history="1">
        <w:r w:rsidR="00D34750" w:rsidRPr="00722FDC">
          <w:rPr>
            <w:rStyle w:val="Hypertextovodkaz"/>
            <w:rFonts w:cs="Times New Roman"/>
            <w:noProof/>
          </w:rPr>
          <w:t>1.4</w:t>
        </w:r>
        <w:r w:rsidR="00D34750" w:rsidRPr="00722FDC">
          <w:rPr>
            <w:rStyle w:val="Hypertextovodkaz"/>
            <w:noProof/>
          </w:rPr>
          <w:t xml:space="preserve"> bezbariérové užívání stavby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_Toc126580834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51B0C18D" w14:textId="2B7AA9B7" w:rsidR="00D34750" w:rsidRDefault="006C0C1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5" w:history="1">
        <w:r w:rsidR="00D34750" w:rsidRPr="00722FDC">
          <w:rPr>
            <w:rStyle w:val="Hypertextovodkaz"/>
            <w:rFonts w:cs="Times New Roman"/>
            <w:noProof/>
          </w:rPr>
          <w:t>2.</w:t>
        </w:r>
        <w:r w:rsidR="00D34750" w:rsidRPr="00722FDC">
          <w:rPr>
            <w:rStyle w:val="Hypertextovodkaz"/>
            <w:noProof/>
          </w:rPr>
          <w:t xml:space="preserve"> Konstrukční a stavebně technické řešení a technické vlastnosti stavby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_Toc126580835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04FE14FE" w14:textId="4B02E277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6" w:history="1">
        <w:r w:rsidR="00D34750" w:rsidRPr="00722FDC">
          <w:rPr>
            <w:rStyle w:val="Hypertextovodkaz"/>
            <w:rFonts w:cs="Times New Roman"/>
            <w:noProof/>
          </w:rPr>
          <w:t>2.1</w:t>
        </w:r>
        <w:r w:rsidR="00D34750" w:rsidRPr="00722FDC">
          <w:rPr>
            <w:rStyle w:val="Hypertextovodkaz"/>
            <w:noProof/>
          </w:rPr>
          <w:t xml:space="preserve"> Výkopové práce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_Toc126580836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227814CA" w14:textId="71405A0E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7" w:history="1">
        <w:r w:rsidR="00D34750" w:rsidRPr="00722FDC">
          <w:rPr>
            <w:rStyle w:val="Hypertextovodkaz"/>
            <w:rFonts w:cs="Times New Roman"/>
            <w:noProof/>
          </w:rPr>
          <w:t>2.2</w:t>
        </w:r>
        <w:r w:rsidR="00D34750" w:rsidRPr="00722FDC">
          <w:rPr>
            <w:rStyle w:val="Hypertextovodkaz"/>
            <w:noProof/>
          </w:rPr>
          <w:t xml:space="preserve"> Zakládání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_Toc126580837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73C24BEB" w14:textId="62D5FB06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8" w:history="1">
        <w:r w:rsidR="00D34750" w:rsidRPr="00722FDC">
          <w:rPr>
            <w:rStyle w:val="Hypertextovodkaz"/>
            <w:rFonts w:cs="Times New Roman"/>
            <w:noProof/>
          </w:rPr>
          <w:t>2.3</w:t>
        </w:r>
        <w:r w:rsidR="00D34750" w:rsidRPr="00722FDC">
          <w:rPr>
            <w:rStyle w:val="Hypertextovodkaz"/>
            <w:noProof/>
          </w:rPr>
          <w:t xml:space="preserve"> Svislé konstrukce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_Toc126580838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7FE75B98" w14:textId="278EEFB8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39" w:history="1">
        <w:r w:rsidR="00D34750" w:rsidRPr="00722FDC">
          <w:rPr>
            <w:rStyle w:val="Hypertextovodkaz"/>
            <w:rFonts w:cs="Times New Roman"/>
            <w:noProof/>
          </w:rPr>
          <w:t>2.4</w:t>
        </w:r>
        <w:r w:rsidR="00D34750" w:rsidRPr="00722FDC">
          <w:rPr>
            <w:rStyle w:val="Hypertextovodkaz"/>
            <w:noProof/>
          </w:rPr>
          <w:t xml:space="preserve"> Vodorovné konstrukce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_Toc126580839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69B1E5B4" w14:textId="6E976DBF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0" w:history="1">
        <w:r w:rsidR="00D34750" w:rsidRPr="00722FDC">
          <w:rPr>
            <w:rStyle w:val="Hypertextovodkaz"/>
            <w:rFonts w:cs="Times New Roman"/>
            <w:noProof/>
          </w:rPr>
          <w:t>2.5</w:t>
        </w:r>
        <w:r w:rsidR="00D34750" w:rsidRPr="00722FDC">
          <w:rPr>
            <w:rStyle w:val="Hypertextovodkaz"/>
            <w:noProof/>
          </w:rPr>
          <w:t xml:space="preserve"> Střecha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_Toc126580840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68C62499" w14:textId="117EF4AA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1" w:history="1">
        <w:r w:rsidR="00D34750" w:rsidRPr="00722FDC">
          <w:rPr>
            <w:rStyle w:val="Hypertextovodkaz"/>
            <w:rFonts w:cs="Times New Roman"/>
            <w:noProof/>
          </w:rPr>
          <w:t>2.6</w:t>
        </w:r>
        <w:r w:rsidR="00D34750" w:rsidRPr="00722FDC">
          <w:rPr>
            <w:rStyle w:val="Hypertextovodkaz"/>
            <w:noProof/>
          </w:rPr>
          <w:t xml:space="preserve"> Podlahy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_Toc126580841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1476E53D" w14:textId="775543D5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2" w:history="1">
        <w:r w:rsidR="00D34750" w:rsidRPr="00722FDC">
          <w:rPr>
            <w:rStyle w:val="Hypertextovodkaz"/>
            <w:rFonts w:cs="Times New Roman"/>
            <w:noProof/>
          </w:rPr>
          <w:t>2.7</w:t>
        </w:r>
        <w:r w:rsidR="00D34750" w:rsidRPr="00722FDC">
          <w:rPr>
            <w:rStyle w:val="Hypertextovodkaz"/>
            <w:noProof/>
          </w:rPr>
          <w:t xml:space="preserve"> Nátěry a malby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_Toc126580842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30451EF7" w14:textId="2F3F95C7" w:rsidR="00D34750" w:rsidRDefault="006C0C1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3" w:history="1">
        <w:r w:rsidR="00D34750" w:rsidRPr="00722FDC">
          <w:rPr>
            <w:rStyle w:val="Hypertextovodkaz"/>
            <w:rFonts w:cs="Times New Roman"/>
            <w:noProof/>
          </w:rPr>
          <w:t>3.</w:t>
        </w:r>
        <w:r w:rsidR="00D34750" w:rsidRPr="00722FDC">
          <w:rPr>
            <w:rStyle w:val="Hypertextovodkaz"/>
            <w:noProof/>
          </w:rPr>
          <w:t xml:space="preserve"> Tepelná technika, osvětlení, oslunění, akustika (hluk, vibrace) - popis řešení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_Toc126580843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66C1C058" w14:textId="0DA91F67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4" w:history="1">
        <w:r w:rsidR="00D34750" w:rsidRPr="00722FDC">
          <w:rPr>
            <w:rStyle w:val="Hypertextovodkaz"/>
            <w:rFonts w:cs="Times New Roman"/>
            <w:noProof/>
          </w:rPr>
          <w:t>3.1</w:t>
        </w:r>
        <w:r w:rsidR="00D34750" w:rsidRPr="00722FDC">
          <w:rPr>
            <w:rStyle w:val="Hypertextovodkaz"/>
            <w:noProof/>
          </w:rPr>
          <w:t xml:space="preserve"> Tepelná technika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_Toc126580844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31FCEF46" w14:textId="252717BC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5" w:history="1">
        <w:r w:rsidR="00D34750" w:rsidRPr="00722FDC">
          <w:rPr>
            <w:rStyle w:val="Hypertextovodkaz"/>
            <w:rFonts w:cs="Times New Roman"/>
            <w:noProof/>
          </w:rPr>
          <w:t>3.2</w:t>
        </w:r>
        <w:r w:rsidR="00D34750" w:rsidRPr="00722FDC">
          <w:rPr>
            <w:rStyle w:val="Hypertextovodkaz"/>
            <w:noProof/>
          </w:rPr>
          <w:t xml:space="preserve"> osvětlení, oslunění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_Toc126580845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4F741B35" w14:textId="3811B09B" w:rsidR="00D34750" w:rsidRDefault="006C0C15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6" w:history="1">
        <w:r w:rsidR="00D34750" w:rsidRPr="00722FDC">
          <w:rPr>
            <w:rStyle w:val="Hypertextovodkaz"/>
            <w:rFonts w:cs="Times New Roman"/>
            <w:noProof/>
          </w:rPr>
          <w:t>3.3</w:t>
        </w:r>
        <w:r w:rsidR="00D34750" w:rsidRPr="00722FDC">
          <w:rPr>
            <w:rStyle w:val="Hypertextovodkaz"/>
            <w:noProof/>
          </w:rPr>
          <w:t xml:space="preserve"> Akustika (hluk, vibrace)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_Toc126580846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3444A4BC" w14:textId="672B08FB" w:rsidR="00D34750" w:rsidRDefault="006C0C1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126580847" w:history="1">
        <w:r w:rsidR="00D34750" w:rsidRPr="00722FDC">
          <w:rPr>
            <w:rStyle w:val="Hypertextovodkaz"/>
            <w:rFonts w:cs="Times New Roman"/>
            <w:noProof/>
          </w:rPr>
          <w:t>4.</w:t>
        </w:r>
        <w:r w:rsidR="00D34750" w:rsidRPr="00722FDC">
          <w:rPr>
            <w:rStyle w:val="Hypertextovodkaz"/>
            <w:noProof/>
          </w:rPr>
          <w:t xml:space="preserve"> Výpis použitých norem</w:t>
        </w:r>
        <w:r w:rsidR="00D34750">
          <w:rPr>
            <w:noProof/>
            <w:webHidden/>
          </w:rPr>
          <w:tab/>
        </w:r>
        <w:r w:rsidR="00D34750">
          <w:rPr>
            <w:noProof/>
            <w:webHidden/>
          </w:rPr>
          <w:fldChar w:fldCharType="begin"/>
        </w:r>
        <w:r w:rsidR="00D34750">
          <w:rPr>
            <w:noProof/>
            <w:webHidden/>
          </w:rPr>
          <w:instrText xml:space="preserve"> PAGEREF _Toc126580847 \h </w:instrText>
        </w:r>
        <w:r w:rsidR="00D34750">
          <w:rPr>
            <w:noProof/>
            <w:webHidden/>
          </w:rPr>
        </w:r>
        <w:r w:rsidR="00D34750">
          <w:rPr>
            <w:noProof/>
            <w:webHidden/>
          </w:rPr>
          <w:fldChar w:fldCharType="separate"/>
        </w:r>
        <w:r w:rsidR="00D34750">
          <w:rPr>
            <w:noProof/>
            <w:webHidden/>
          </w:rPr>
          <w:t>2</w:t>
        </w:r>
        <w:r w:rsidR="00D34750">
          <w:rPr>
            <w:noProof/>
            <w:webHidden/>
          </w:rPr>
          <w:fldChar w:fldCharType="end"/>
        </w:r>
      </w:hyperlink>
    </w:p>
    <w:p w14:paraId="284FC86F" w14:textId="48708A07" w:rsidR="00C13651" w:rsidRDefault="00C13651">
      <w:pPr>
        <w:pStyle w:val="slovanNadpis1"/>
        <w:numPr>
          <w:ilvl w:val="0"/>
          <w:numId w:val="0"/>
        </w:numPr>
        <w:rPr>
          <w:sz w:val="26"/>
          <w:szCs w:val="26"/>
        </w:rPr>
      </w:pPr>
      <w:r w:rsidRPr="00C425DE">
        <w:rPr>
          <w:sz w:val="20"/>
          <w:szCs w:val="20"/>
        </w:rPr>
        <w:fldChar w:fldCharType="end"/>
      </w:r>
      <w:bookmarkStart w:id="0" w:name="_Toc126580830"/>
      <w:r>
        <w:rPr>
          <w:sz w:val="26"/>
          <w:szCs w:val="26"/>
        </w:rPr>
        <w:t>Architektonické, výtvarné, materiálové, dispoziční a provozní řešení, bezbariérové užívání stavby</w:t>
      </w:r>
      <w:bookmarkEnd w:id="0"/>
    </w:p>
    <w:p w14:paraId="1A07A8D0" w14:textId="27F34ECC" w:rsidR="002B2CAB" w:rsidRDefault="00C13651" w:rsidP="002B2CAB">
      <w:pPr>
        <w:pStyle w:val="slovanNadpis2"/>
        <w:ind w:left="0"/>
      </w:pPr>
      <w:bookmarkStart w:id="1" w:name="_Toc126580831"/>
      <w:r>
        <w:t>architektonické a výtvarné řešení</w:t>
      </w:r>
      <w:bookmarkEnd w:id="1"/>
    </w:p>
    <w:p w14:paraId="202AD550" w14:textId="77777777" w:rsidR="002B2CAB" w:rsidRPr="008463A4" w:rsidRDefault="002B2CAB" w:rsidP="002B2CAB">
      <w:pPr>
        <w:ind w:firstLine="708"/>
      </w:pPr>
      <w:r w:rsidRPr="008463A4">
        <w:t xml:space="preserve">Navržený objekt </w:t>
      </w:r>
      <w:r>
        <w:t>altánu</w:t>
      </w:r>
      <w:r w:rsidRPr="008463A4">
        <w:t xml:space="preserve"> vychází z</w:t>
      </w:r>
      <w:r>
        <w:t> půdorysného tvaru desetiúhelníku. H</w:t>
      </w:r>
      <w:r w:rsidRPr="008463A4">
        <w:t xml:space="preserve">lavní snahou je zpříjemnit podmínky </w:t>
      </w:r>
      <w:r>
        <w:t>pobytu klientů domova důchodců.</w:t>
      </w:r>
    </w:p>
    <w:p w14:paraId="258EAE05" w14:textId="1F3B0231" w:rsidR="002B2CAB" w:rsidRPr="002B2CAB" w:rsidRDefault="002B2CAB" w:rsidP="002B2CAB">
      <w:pPr>
        <w:ind w:firstLine="708"/>
        <w:rPr>
          <w:color w:val="FF0000"/>
        </w:rPr>
      </w:pPr>
      <w:r w:rsidRPr="008463A4">
        <w:t>Architektonicky se bude jednat o stavbu</w:t>
      </w:r>
      <w:r>
        <w:t>, kterou hlavní nosný systém budou tvořit dřevěné sloupky. Zastřešení altánu bude tvořeno valbovou střechou pokrytou pozinkovaným plechem.</w:t>
      </w:r>
    </w:p>
    <w:p w14:paraId="4AD9A326" w14:textId="77777777" w:rsidR="00C13651" w:rsidRPr="00F25C8E" w:rsidRDefault="00C13651">
      <w:pPr>
        <w:pStyle w:val="slovanNadpis2"/>
        <w:ind w:left="0"/>
      </w:pPr>
      <w:bookmarkStart w:id="2" w:name="_Toc126580832"/>
      <w:r w:rsidRPr="00F25C8E">
        <w:t>materiálové řešení</w:t>
      </w:r>
      <w:bookmarkEnd w:id="2"/>
    </w:p>
    <w:p w14:paraId="1A54BD40" w14:textId="1E6C9E5A" w:rsidR="00C13651" w:rsidRPr="00F25C8E" w:rsidRDefault="00694C43">
      <w:pPr>
        <w:ind w:firstLine="708"/>
        <w:rPr>
          <w:color w:val="FF0000"/>
        </w:rPr>
      </w:pPr>
      <w:r>
        <w:t>Svislý n</w:t>
      </w:r>
      <w:r w:rsidR="00C13651" w:rsidRPr="009A1AE1">
        <w:t>osný systém objektu je</w:t>
      </w:r>
      <w:r w:rsidR="00123A32">
        <w:t xml:space="preserve"> </w:t>
      </w:r>
      <w:r w:rsidR="00D34750">
        <w:t>z</w:t>
      </w:r>
      <w:r w:rsidR="00123A32">
        <w:t xml:space="preserve"> dřevěný</w:t>
      </w:r>
      <w:r w:rsidR="00D34750">
        <w:t>ch</w:t>
      </w:r>
      <w:r w:rsidR="00123A32">
        <w:t xml:space="preserve"> sloupk</w:t>
      </w:r>
      <w:r w:rsidR="00D34750">
        <w:t>ů</w:t>
      </w:r>
      <w:r>
        <w:t xml:space="preserve"> a podélných ztužujících trámků</w:t>
      </w:r>
      <w:r w:rsidR="00C13651" w:rsidRPr="009A1AE1">
        <w:t>.</w:t>
      </w:r>
      <w:r w:rsidR="00D34750">
        <w:t xml:space="preserve"> Střešní </w:t>
      </w:r>
      <w:r>
        <w:t xml:space="preserve">nosná </w:t>
      </w:r>
      <w:r w:rsidR="00D34750">
        <w:t>konstrukce je</w:t>
      </w:r>
      <w:r w:rsidR="00C13651" w:rsidRPr="009A1AE1">
        <w:t xml:space="preserve"> </w:t>
      </w:r>
      <w:r w:rsidR="00123A32">
        <w:t>tvořen</w:t>
      </w:r>
      <w:r w:rsidR="00D34750">
        <w:t>a</w:t>
      </w:r>
      <w:r w:rsidR="00123A32">
        <w:t xml:space="preserve"> pomocí krokv</w:t>
      </w:r>
      <w:r w:rsidR="00D34750">
        <w:t>í a vaznicemi</w:t>
      </w:r>
      <w:r w:rsidR="00C13651" w:rsidRPr="009A1AE1">
        <w:t xml:space="preserve">. </w:t>
      </w:r>
      <w:r w:rsidR="00D34750">
        <w:t xml:space="preserve">Podlaha </w:t>
      </w:r>
      <w:r w:rsidR="00C13651" w:rsidRPr="009A1AE1">
        <w:t>bude</w:t>
      </w:r>
      <w:r w:rsidR="00D34750">
        <w:t xml:space="preserve"> z</w:t>
      </w:r>
      <w:r w:rsidR="00123A32">
        <w:t xml:space="preserve"> betonov</w:t>
      </w:r>
      <w:r w:rsidR="00D34750">
        <w:t>é</w:t>
      </w:r>
      <w:r w:rsidR="00123A32">
        <w:t xml:space="preserve"> mazanin</w:t>
      </w:r>
      <w:r w:rsidR="00D34750">
        <w:t>y a</w:t>
      </w:r>
      <w:r w:rsidR="00C13651" w:rsidRPr="009A1AE1">
        <w:t xml:space="preserve"> </w:t>
      </w:r>
      <w:r w:rsidR="00D34750">
        <w:t>s</w:t>
      </w:r>
      <w:r w:rsidR="00C13651" w:rsidRPr="009A1AE1">
        <w:t>třešní plášť</w:t>
      </w:r>
      <w:r w:rsidR="00123A32">
        <w:t xml:space="preserve"> </w:t>
      </w:r>
      <w:r w:rsidR="00CD2DD8" w:rsidRPr="009A1AE1">
        <w:t xml:space="preserve">střechy </w:t>
      </w:r>
      <w:r w:rsidR="00C13651" w:rsidRPr="009A1AE1">
        <w:t xml:space="preserve">bude tvořen </w:t>
      </w:r>
      <w:r w:rsidR="00D34750">
        <w:t xml:space="preserve">prkenným </w:t>
      </w:r>
      <w:r>
        <w:t>záklopem</w:t>
      </w:r>
      <w:r w:rsidR="00D34750">
        <w:t xml:space="preserve"> a pozinkovaným plechem</w:t>
      </w:r>
      <w:r w:rsidR="00C13651" w:rsidRPr="009A1AE1">
        <w:t>.</w:t>
      </w:r>
      <w:r>
        <w:t xml:space="preserve"> </w:t>
      </w:r>
    </w:p>
    <w:p w14:paraId="3FED0EED" w14:textId="77777777" w:rsidR="00C13651" w:rsidRPr="004A66EA" w:rsidRDefault="00C13651">
      <w:pPr>
        <w:pStyle w:val="slovanNadpis2"/>
        <w:ind w:left="0"/>
      </w:pPr>
      <w:bookmarkStart w:id="3" w:name="_Toc126580833"/>
      <w:r w:rsidRPr="004A66EA">
        <w:t>dispoziční a provozní řešení</w:t>
      </w:r>
      <w:bookmarkEnd w:id="3"/>
    </w:p>
    <w:p w14:paraId="0462694D" w14:textId="1FB5FB00" w:rsidR="00C13651" w:rsidRPr="00B61C5B" w:rsidRDefault="00B557D1" w:rsidP="00B557D1">
      <w:pPr>
        <w:ind w:left="708"/>
      </w:pPr>
      <w:r>
        <w:t>Altán bude využíván klienty domova</w:t>
      </w:r>
      <w:r w:rsidR="006C0C15">
        <w:t xml:space="preserve"> s pečovatelskou službou</w:t>
      </w:r>
      <w:r>
        <w:t>.</w:t>
      </w:r>
    </w:p>
    <w:p w14:paraId="33C56860" w14:textId="77777777" w:rsidR="00C13651" w:rsidRPr="00B14ABA" w:rsidRDefault="00C13651">
      <w:pPr>
        <w:pStyle w:val="slovanNadpis2"/>
        <w:ind w:left="0"/>
      </w:pPr>
      <w:bookmarkStart w:id="4" w:name="_Toc126580834"/>
      <w:r w:rsidRPr="00B14ABA">
        <w:lastRenderedPageBreak/>
        <w:t>bezbariérové užívání stavby</w:t>
      </w:r>
      <w:bookmarkEnd w:id="4"/>
    </w:p>
    <w:p w14:paraId="3741FB93" w14:textId="738543E4" w:rsidR="00C13651" w:rsidRPr="00B14ABA" w:rsidRDefault="00C13651">
      <w:pPr>
        <w:ind w:firstLine="708"/>
      </w:pPr>
      <w:r w:rsidRPr="00B14ABA">
        <w:t>Objekt je řešen s ohledem na pohyb osob se sníženou schopností pohybu a orientace. J</w:t>
      </w:r>
      <w:r w:rsidR="00994DD6">
        <w:t>e</w:t>
      </w:r>
      <w:r w:rsidRPr="00B14ABA">
        <w:t xml:space="preserve"> jim bezbariérově zpřístupněn vešker</w:t>
      </w:r>
      <w:r w:rsidR="00994DD6">
        <w:t>ý</w:t>
      </w:r>
      <w:r w:rsidRPr="00B14ABA">
        <w:t xml:space="preserve"> prostor</w:t>
      </w:r>
      <w:r w:rsidR="00994DD6">
        <w:t>.</w:t>
      </w:r>
    </w:p>
    <w:p w14:paraId="795D01ED" w14:textId="77777777" w:rsidR="00C13651" w:rsidRPr="009B1584" w:rsidRDefault="00C13651">
      <w:pPr>
        <w:pStyle w:val="slovanNadpis1"/>
        <w:ind w:left="0"/>
        <w:rPr>
          <w:sz w:val="26"/>
          <w:szCs w:val="26"/>
        </w:rPr>
      </w:pPr>
      <w:bookmarkStart w:id="5" w:name="_Toc126580835"/>
      <w:r w:rsidRPr="009B1584">
        <w:rPr>
          <w:sz w:val="26"/>
          <w:szCs w:val="26"/>
        </w:rPr>
        <w:t>Konstrukční a stavebně technické řešení a technické vlastnosti stavby</w:t>
      </w:r>
      <w:bookmarkEnd w:id="5"/>
    </w:p>
    <w:p w14:paraId="001FE4E7" w14:textId="2EE1DEC7" w:rsidR="008935AB" w:rsidRDefault="008935AB">
      <w:pPr>
        <w:ind w:firstLine="708"/>
        <w:rPr>
          <w:bCs/>
        </w:rPr>
      </w:pPr>
      <w:r w:rsidRPr="00A048EE">
        <w:t>Nosný systém objektu je tvořen</w:t>
      </w:r>
      <w:r w:rsidR="00FA6679">
        <w:t xml:space="preserve"> dřevěnými</w:t>
      </w:r>
      <w:r w:rsidRPr="00A048EE">
        <w:t xml:space="preserve"> prvky, založení objektu se předpokládá na </w:t>
      </w:r>
      <w:r w:rsidR="00FA6679">
        <w:t>železobetonové desce</w:t>
      </w:r>
      <w:r w:rsidRPr="00A048EE">
        <w:t>.</w:t>
      </w:r>
    </w:p>
    <w:p w14:paraId="19DD4C1E" w14:textId="77777777" w:rsidR="00C13651" w:rsidRPr="00D12132" w:rsidRDefault="00C13651">
      <w:pPr>
        <w:pStyle w:val="slovanNadpis2"/>
        <w:ind w:left="0"/>
      </w:pPr>
      <w:bookmarkStart w:id="6" w:name="_Toc126580836"/>
      <w:r w:rsidRPr="00D12132">
        <w:t>Výkopové práce</w:t>
      </w:r>
      <w:bookmarkEnd w:id="6"/>
    </w:p>
    <w:p w14:paraId="59BDD2A5" w14:textId="08D14C58" w:rsidR="00C13651" w:rsidRPr="00D12132" w:rsidRDefault="00C13651">
      <w:pPr>
        <w:ind w:firstLine="708"/>
      </w:pPr>
      <w:r w:rsidRPr="00D12132">
        <w:t>Výkopové práce budou probíhat v minimální míře.</w:t>
      </w:r>
    </w:p>
    <w:p w14:paraId="6246E32C" w14:textId="77777777" w:rsidR="00C13651" w:rsidRPr="00B14ABA" w:rsidRDefault="00C13651">
      <w:pPr>
        <w:pStyle w:val="slovanNadpis2"/>
        <w:ind w:left="0"/>
      </w:pPr>
      <w:bookmarkStart w:id="7" w:name="_Toc126580837"/>
      <w:r w:rsidRPr="00B14ABA">
        <w:t>Zakládání</w:t>
      </w:r>
      <w:bookmarkEnd w:id="7"/>
    </w:p>
    <w:p w14:paraId="54860A04" w14:textId="42D8E1B0" w:rsidR="00372687" w:rsidRPr="00A23847" w:rsidRDefault="00430D18" w:rsidP="00372687">
      <w:pPr>
        <w:ind w:firstLine="708"/>
        <w:rPr>
          <w:rFonts w:cs="Arial"/>
        </w:rPr>
      </w:pPr>
      <w:r>
        <w:t>Základovou konstrukci bude tvořit železobetonová deska o tloušťce 350 mm.</w:t>
      </w:r>
      <w:r w:rsidR="006C0C15">
        <w:t xml:space="preserve"> Vyztužena bude KARI sítí 150/150/6 na dolní a horní hraně.</w:t>
      </w:r>
    </w:p>
    <w:p w14:paraId="353B1F09" w14:textId="77777777" w:rsidR="00C13651" w:rsidRPr="00B14ABA" w:rsidRDefault="00C13651">
      <w:pPr>
        <w:pStyle w:val="slovanNadpis2"/>
        <w:ind w:left="0"/>
      </w:pPr>
      <w:bookmarkStart w:id="8" w:name="_Toc126580838"/>
      <w:r w:rsidRPr="00B14ABA">
        <w:t>Svislé konstrukce</w:t>
      </w:r>
      <w:bookmarkEnd w:id="8"/>
    </w:p>
    <w:p w14:paraId="4BC5431B" w14:textId="2164AE70" w:rsidR="005506CE" w:rsidRPr="00430D18" w:rsidRDefault="00626779" w:rsidP="00ED0CEC">
      <w:pPr>
        <w:autoSpaceDE w:val="0"/>
        <w:autoSpaceDN w:val="0"/>
        <w:adjustRightInd w:val="0"/>
        <w:ind w:firstLine="708"/>
      </w:pPr>
      <w:r w:rsidRPr="00B87B7C">
        <w:t>Nosnou konstruk</w:t>
      </w:r>
      <w:r w:rsidR="00ED0CEC">
        <w:t>ci altánu představují sloupky o rozměrech 120x120 mm, které jsou kotveny do železobetonu pomocí ocelových kotvících patek.</w:t>
      </w:r>
    </w:p>
    <w:p w14:paraId="69AC3DD8" w14:textId="41FBA00D" w:rsidR="00C13651" w:rsidRPr="00730CC4" w:rsidRDefault="00C13651">
      <w:pPr>
        <w:pStyle w:val="slovanNadpis2"/>
        <w:ind w:left="0"/>
      </w:pPr>
      <w:bookmarkStart w:id="9" w:name="_Toc313353850"/>
      <w:bookmarkStart w:id="10" w:name="_Toc126580839"/>
      <w:r w:rsidRPr="00730CC4">
        <w:t>Vodorovné konstrukce</w:t>
      </w:r>
      <w:bookmarkEnd w:id="9"/>
      <w:bookmarkEnd w:id="10"/>
    </w:p>
    <w:p w14:paraId="6F831E16" w14:textId="352B19A9" w:rsidR="00C13651" w:rsidRDefault="002227DF" w:rsidP="00ED0CEC">
      <w:pPr>
        <w:ind w:firstLine="708"/>
      </w:pPr>
      <w:r>
        <w:t>Střešní konstrukci tvoří vaznice (120x160 mm) a krokve (100x140 mm), které přenášejí zatížení na sloupky.</w:t>
      </w:r>
    </w:p>
    <w:p w14:paraId="518434BF" w14:textId="094C3E03" w:rsidR="002227DF" w:rsidRPr="00ED0CEC" w:rsidRDefault="002227DF" w:rsidP="00ED0CEC">
      <w:pPr>
        <w:ind w:firstLine="708"/>
      </w:pPr>
      <w:r>
        <w:t>Pod vaznicemi je také trámek (80x120 mm), který ztužuje stavbu ve vodorovném směru.</w:t>
      </w:r>
    </w:p>
    <w:p w14:paraId="14261221" w14:textId="77777777" w:rsidR="00C13651" w:rsidRPr="00FA0E48" w:rsidRDefault="00C13651">
      <w:pPr>
        <w:pStyle w:val="slovanNadpis2"/>
        <w:ind w:left="0"/>
      </w:pPr>
      <w:bookmarkStart w:id="11" w:name="_Toc313353851"/>
      <w:bookmarkStart w:id="12" w:name="_Toc126580840"/>
      <w:r w:rsidRPr="00FA0E48">
        <w:t>Střecha</w:t>
      </w:r>
      <w:bookmarkEnd w:id="11"/>
      <w:bookmarkEnd w:id="12"/>
    </w:p>
    <w:p w14:paraId="073F4EA4" w14:textId="3D0E4E45" w:rsidR="000B48E8" w:rsidRPr="00FA0E48" w:rsidRDefault="00C13651" w:rsidP="000B48E8">
      <w:pPr>
        <w:ind w:firstLine="708"/>
      </w:pPr>
      <w:r w:rsidRPr="00FA0E48">
        <w:t xml:space="preserve">Zastřešení objektu je provedeno </w:t>
      </w:r>
      <w:r w:rsidR="002227DF">
        <w:t>valbovou</w:t>
      </w:r>
      <w:r w:rsidRPr="00FA0E48">
        <w:t xml:space="preserve"> střešní konstrukcí z</w:t>
      </w:r>
      <w:r w:rsidR="002227DF">
        <w:t> pozinkovaného plechu o tl. 0,7 mm</w:t>
      </w:r>
      <w:r w:rsidR="000B48E8">
        <w:t>, ve sklonu 30 %.</w:t>
      </w:r>
    </w:p>
    <w:p w14:paraId="6F59A5CA" w14:textId="77777777" w:rsidR="00C13651" w:rsidRPr="00FA0E48" w:rsidRDefault="00C13651">
      <w:pPr>
        <w:pStyle w:val="slovanNadpis2"/>
        <w:ind w:left="0"/>
      </w:pPr>
      <w:bookmarkStart w:id="13" w:name="_Toc313353852"/>
      <w:bookmarkStart w:id="14" w:name="_Toc126580841"/>
      <w:r w:rsidRPr="00FA0E48">
        <w:t>Podlahy</w:t>
      </w:r>
      <w:bookmarkEnd w:id="13"/>
      <w:bookmarkEnd w:id="14"/>
    </w:p>
    <w:p w14:paraId="5D3A20B4" w14:textId="5E515F29" w:rsidR="00C13651" w:rsidRPr="00FA0E48" w:rsidRDefault="000B48E8">
      <w:pPr>
        <w:ind w:firstLine="708"/>
      </w:pPr>
      <w:r>
        <w:t>Podlaha je tvořena betonovou mazaninou</w:t>
      </w:r>
      <w:r w:rsidR="00C13651" w:rsidRPr="00FA0E48">
        <w:t>.</w:t>
      </w:r>
    </w:p>
    <w:p w14:paraId="73218478" w14:textId="77777777" w:rsidR="00C13651" w:rsidRPr="00821123" w:rsidRDefault="00C13651">
      <w:pPr>
        <w:pStyle w:val="slovanNadpis2"/>
        <w:ind w:left="0"/>
      </w:pPr>
      <w:bookmarkStart w:id="15" w:name="_Toc313353861"/>
      <w:bookmarkStart w:id="16" w:name="_Toc438106318"/>
      <w:bookmarkStart w:id="17" w:name="_Toc126580842"/>
      <w:r w:rsidRPr="00821123">
        <w:t>Nátěry a malby</w:t>
      </w:r>
      <w:bookmarkEnd w:id="15"/>
      <w:bookmarkEnd w:id="16"/>
      <w:bookmarkEnd w:id="17"/>
      <w:r w:rsidRPr="00821123">
        <w:t xml:space="preserve"> </w:t>
      </w:r>
    </w:p>
    <w:p w14:paraId="693D45FA" w14:textId="25E3A698" w:rsidR="00C13651" w:rsidRPr="00821123" w:rsidRDefault="00562CC7" w:rsidP="00562CC7">
      <w:pPr>
        <w:ind w:firstLine="708"/>
      </w:pPr>
      <w:r>
        <w:t>Veškeré dřevo bude nejdříve naimpregnované poté opatřené tenkovrstvou lazurou.</w:t>
      </w:r>
    </w:p>
    <w:p w14:paraId="217D5E75" w14:textId="77777777" w:rsidR="00C13651" w:rsidRPr="00B61C5B" w:rsidRDefault="00C13651">
      <w:pPr>
        <w:pStyle w:val="slovanNadpis1"/>
        <w:ind w:left="0"/>
        <w:rPr>
          <w:sz w:val="26"/>
          <w:szCs w:val="26"/>
        </w:rPr>
      </w:pPr>
      <w:bookmarkStart w:id="18" w:name="_Toc126580843"/>
      <w:r w:rsidRPr="00B61C5B">
        <w:rPr>
          <w:sz w:val="26"/>
          <w:szCs w:val="26"/>
        </w:rPr>
        <w:t>Tepelná technika, osvětlení, oslunění, akustika (hluk, vibrace) - popis řešení</w:t>
      </w:r>
      <w:bookmarkEnd w:id="18"/>
    </w:p>
    <w:p w14:paraId="619D83D8" w14:textId="77777777" w:rsidR="00C13651" w:rsidRPr="00B61C5B" w:rsidRDefault="00C13651">
      <w:pPr>
        <w:pStyle w:val="slovanNadpis2"/>
        <w:ind w:left="0"/>
      </w:pPr>
      <w:bookmarkStart w:id="19" w:name="_Toc126580844"/>
      <w:r w:rsidRPr="00B61C5B">
        <w:t>Tepelná technika</w:t>
      </w:r>
      <w:bookmarkEnd w:id="19"/>
    </w:p>
    <w:p w14:paraId="0B6AD93B" w14:textId="47E69A84" w:rsidR="00C13651" w:rsidRPr="00B61C5B" w:rsidRDefault="00603B84" w:rsidP="00603B84">
      <w:pPr>
        <w:ind w:firstLine="708"/>
      </w:pPr>
      <w:r>
        <w:t>U tohoto typu stavby není potřeba řešit tepelnou techniku.</w:t>
      </w:r>
    </w:p>
    <w:p w14:paraId="1D1C6C46" w14:textId="77777777" w:rsidR="00C13651" w:rsidRPr="00B61C5B" w:rsidRDefault="00C13651">
      <w:pPr>
        <w:pStyle w:val="slovanNadpis2"/>
        <w:ind w:left="0"/>
      </w:pPr>
      <w:bookmarkStart w:id="20" w:name="_Toc126580845"/>
      <w:r w:rsidRPr="00B61C5B">
        <w:t>osvětlení, oslunění</w:t>
      </w:r>
      <w:bookmarkEnd w:id="20"/>
    </w:p>
    <w:p w14:paraId="53241FC6" w14:textId="47C58B3D" w:rsidR="00C13651" w:rsidRPr="00B379D3" w:rsidRDefault="00603B84" w:rsidP="00603B84">
      <w:pPr>
        <w:ind w:firstLine="708"/>
      </w:pPr>
      <w:r>
        <w:t>Jelikož objekt otevřený</w:t>
      </w:r>
      <w:r w:rsidR="006D5F89">
        <w:t xml:space="preserve"> oslunění bude dostatečné.</w:t>
      </w:r>
    </w:p>
    <w:p w14:paraId="2BE3D49C" w14:textId="77777777" w:rsidR="00C13651" w:rsidRPr="00B61C5B" w:rsidRDefault="00C13651">
      <w:pPr>
        <w:pStyle w:val="slovanNadpis2"/>
        <w:ind w:left="0"/>
      </w:pPr>
      <w:bookmarkStart w:id="21" w:name="_Toc126580846"/>
      <w:r w:rsidRPr="00B61C5B">
        <w:t>Akustika (hluk, vibrace)</w:t>
      </w:r>
      <w:bookmarkEnd w:id="21"/>
    </w:p>
    <w:p w14:paraId="29972F7C" w14:textId="6EDAC81A" w:rsidR="00603B84" w:rsidRPr="00603B84" w:rsidRDefault="00603B84" w:rsidP="00603B84">
      <w:pPr>
        <w:ind w:firstLine="708"/>
      </w:pPr>
      <w:r>
        <w:t>U tohoto typu stavby není potřeba řešit akustiku.</w:t>
      </w:r>
    </w:p>
    <w:p w14:paraId="257766D5" w14:textId="4A2E4C73" w:rsidR="00C13651" w:rsidRPr="00B61C5B" w:rsidRDefault="00C13651">
      <w:pPr>
        <w:pStyle w:val="slovanNadpis1"/>
        <w:ind w:left="0"/>
        <w:rPr>
          <w:sz w:val="26"/>
          <w:szCs w:val="26"/>
        </w:rPr>
      </w:pPr>
      <w:bookmarkStart w:id="22" w:name="_Toc126580847"/>
      <w:r w:rsidRPr="00B61C5B">
        <w:rPr>
          <w:sz w:val="26"/>
          <w:szCs w:val="26"/>
        </w:rPr>
        <w:t>Výpis použitých norem</w:t>
      </w:r>
      <w:bookmarkEnd w:id="22"/>
    </w:p>
    <w:p w14:paraId="70B0CA99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3" w:name="_Toc34231715"/>
      <w:r w:rsidRPr="00B61C5B">
        <w:rPr>
          <w:b/>
          <w:bCs/>
          <w:sz w:val="24"/>
          <w:szCs w:val="24"/>
        </w:rPr>
        <w:t>Úvod</w:t>
      </w:r>
      <w:bookmarkEnd w:id="23"/>
    </w:p>
    <w:p w14:paraId="49594BE3" w14:textId="77777777" w:rsidR="00C13651" w:rsidRPr="00B61C5B" w:rsidRDefault="00C13651">
      <w:pPr>
        <w:ind w:firstLine="708"/>
      </w:pPr>
      <w:r w:rsidRPr="00B61C5B">
        <w:lastRenderedPageBreak/>
        <w:t>V seznamu jsou uvedeny příslušné právní normy a ČSN podle kterých je stavba navržena a musí být i realizována. Jedná se o reprezentativní seznam základních norem, který nemůže obsahovat a ani neobsahuje všechny dotčené právní normy a ČSN.</w:t>
      </w:r>
    </w:p>
    <w:p w14:paraId="6A87F43F" w14:textId="77777777" w:rsidR="00C13651" w:rsidRDefault="00C13651" w:rsidP="002544ED">
      <w:pPr>
        <w:ind w:firstLine="708"/>
      </w:pPr>
      <w:r w:rsidRPr="00B61C5B">
        <w:t>Zákony, vyhlášky a ČSN uvedené v tomto seznamu jsou v úplném znění a jsou platné k datu zpracování projektové dokumentace.</w:t>
      </w:r>
    </w:p>
    <w:p w14:paraId="0C6F3A0F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4" w:name="_Toc34231716"/>
      <w:r w:rsidRPr="00B61C5B">
        <w:rPr>
          <w:b/>
          <w:bCs/>
          <w:sz w:val="24"/>
          <w:szCs w:val="24"/>
        </w:rPr>
        <w:t>Architektonicko stavební řešení</w:t>
      </w:r>
      <w:bookmarkEnd w:id="24"/>
    </w:p>
    <w:p w14:paraId="2212F857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5" w:name="_Toc34231717"/>
      <w:r w:rsidRPr="00B61C5B">
        <w:rPr>
          <w:b/>
          <w:bCs/>
          <w:sz w:val="24"/>
          <w:szCs w:val="24"/>
        </w:rPr>
        <w:t>Základní předpisy</w:t>
      </w:r>
      <w:bookmarkEnd w:id="25"/>
    </w:p>
    <w:p w14:paraId="4CCDDF7F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Zákon č. 100/2001 Sb., o posuzování vlivů na životní prostředí a o změně některých souvisejících zákonů (zákon o posuzování vlivů na životní prostředí), ve znění zákona č. 93/2004 Sb., zákona č. 163/2006 Sb., zákona č. 186/2006 Sb., zákona č. 216/2007 Sb., zákona č. 223/2009 Sb., zákona č. 227/2009 Sb., zákona č. 436/2009 Sb., zákona č. 38/2012 Sb., zákona č. 85/2012 Sb., zákona č. 167/2012 Sb. a zákona č. 350/2012 Sb.</w:t>
      </w:r>
    </w:p>
    <w:p w14:paraId="1103E654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Zákon č.17/1992 Sb. o životním prostředí, ve znění zákona č.123/1998 Sb. a zákona č. 100/2001 Sb.</w:t>
      </w:r>
    </w:p>
    <w:p w14:paraId="5DA7DA2A" w14:textId="77777777" w:rsidR="00C13651" w:rsidRPr="00B61C5B" w:rsidRDefault="00C13651">
      <w:pPr>
        <w:numPr>
          <w:ilvl w:val="0"/>
          <w:numId w:val="3"/>
        </w:numPr>
      </w:pPr>
      <w:r w:rsidRPr="00B61C5B">
        <w:t>Zákon č. 183/2006 Sb. o územním plánování a stavebním řádu (stavební zákon), ve znění zákona č. 68/2007 Sb., zákona č. 191/2008 Sb., zákona č. 223/2009 Sb., zákona č. 227/2009 Sb., zákona č. 281/2009 Sb., zákona č. 345/2009Sb., zákona č. 379/2009 Sb., zákona č. 424/2010 Sb., zákona č. 420/2011 Sb., zákona č. 142/2012 Sb., zákona č. 167/2012 Sb., zákona č. 350/2012 Sb. a zákona č. 257/2013 Sb.</w:t>
      </w:r>
    </w:p>
    <w:p w14:paraId="0B695933" w14:textId="77777777" w:rsidR="00C13651" w:rsidRPr="00B61C5B" w:rsidRDefault="00C13651">
      <w:pPr>
        <w:numPr>
          <w:ilvl w:val="0"/>
          <w:numId w:val="3"/>
        </w:numPr>
      </w:pPr>
      <w:r w:rsidRPr="00B61C5B">
        <w:t>Vyhláška 499/2006 o dokumentaci staveb, ve znění vyhlášky č. 62/2013 Sb.</w:t>
      </w:r>
    </w:p>
    <w:p w14:paraId="638FA822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Vyhláška č. 63/2013 Sb. kterým se mění vyhláška č. 503/2006 Sb., o podrobnější úpravě územního řízení, veřejnoprávní smlouvy a územního opatření</w:t>
      </w:r>
    </w:p>
    <w:p w14:paraId="1931F972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Vyhláška č. 268/2009 Sb. o technických požadavcích na stavby, ve znění vyhlášky č. 20/2012 Sb.</w:t>
      </w:r>
    </w:p>
    <w:p w14:paraId="2D3B3CC4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Vyhláška č. 398/2009 Sb. o obecných technických požadavcích zabezpečujících bezbariérové užívání staveb</w:t>
      </w:r>
    </w:p>
    <w:p w14:paraId="54970770" w14:textId="48AC3780" w:rsidR="00C13651" w:rsidRPr="00B61C5B" w:rsidRDefault="00C13651">
      <w:pPr>
        <w:numPr>
          <w:ilvl w:val="0"/>
          <w:numId w:val="3"/>
        </w:numPr>
      </w:pPr>
      <w:r w:rsidRPr="00B61C5B">
        <w:rPr>
          <w:rFonts w:cs="Tahoma"/>
        </w:rPr>
        <w:t>Zákon č. 22/1997 Sb., o technických požadavcích na výrobky a o změně a doplnění některých zákonů, ve znění zákona č. 71/2000 Sb., zákona č. 102/2001 Sb., zákona č. 205/2002 Sb., zákona č. 226/2003 Sb., zákona č. 277/2003 Sb., zákona č. 186/2006 Sb., zákona č. 229/2006 Sb., zákona č. 481/2008 Sb., zákona č. 281/2009 Sb., zákona č. 490/2009 Sb.</w:t>
      </w:r>
      <w:r w:rsidR="005B600E" w:rsidRPr="00B61C5B">
        <w:rPr>
          <w:rFonts w:cs="Tahoma"/>
        </w:rPr>
        <w:t>, zákona</w:t>
      </w:r>
      <w:r w:rsidRPr="00B61C5B">
        <w:rPr>
          <w:rFonts w:cs="Tahoma"/>
        </w:rPr>
        <w:t xml:space="preserve"> č. 155/2010 Sb., zákona č. 34/2011 Sb., zákona č. 100/2013 Sb. a zákona č. 64/2014 Sb.</w:t>
      </w:r>
    </w:p>
    <w:p w14:paraId="41054488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Tahoma"/>
        </w:rPr>
        <w:t>Nařízení vlády č. 163/2002 Sb., kterým se stanoví technické požadavky na vybrané stavební výrobky, ve znění nařízení vlády č. 312/2005 Sb.</w:t>
      </w:r>
    </w:p>
    <w:p w14:paraId="0222DE04" w14:textId="77777777" w:rsidR="00C13651" w:rsidRPr="00B61C5B" w:rsidRDefault="00C13651">
      <w:pPr>
        <w:numPr>
          <w:ilvl w:val="0"/>
          <w:numId w:val="3"/>
        </w:numPr>
      </w:pPr>
      <w:r w:rsidRPr="00B61C5B">
        <w:t>Zákon č. 20/1987 Sb., o státní památkové péči, ve znění zákona č. 242/1992 Sb., zákona č. 361/1999 Sb., zákona č. 122/2000 Sb., zákona č. 132/2000 Sb., zákona č. 61/2001 Sb., zákona č. 146/2001 Sb., zákona č. 320/2002 Sb., zákona č. 18/2004 Sb., zákona č. 186/2004 Sb., zákona č. 1/2005 Sb., zákona č. 3/2005 Sb., nálezu Ústavního soudu ČR č. 240/2005 Sb., zákona č. 186/2006 Sb., zákona č. 203/2006 Sb., zákona č. 158/2007 Sb.,  zákona č. 189/2008 Sb., zákona č. 307/2008 Sb., zákona č. 223/2009 Sb., zákona č. 227/2009 Sb., zákona č.124/2011 Sb., zákona č. 142/2012 Sb., zákona č. 303/2013 Sb.</w:t>
      </w:r>
    </w:p>
    <w:p w14:paraId="0EABF34F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Style w:val="Siln"/>
          <w:b w:val="0"/>
          <w:bCs w:val="0"/>
        </w:rPr>
        <w:t>Vyhláška č. 66/1988 Sb.,</w:t>
      </w:r>
      <w:r w:rsidRPr="00B61C5B">
        <w:t xml:space="preserve"> kterou se provádí zákon České národní rady č. 20/1987 Sb., o státní památkové péči, ve znění vyhlášky č. 139/1999 Sb., vyhlášky č. 538/2002 Sb.</w:t>
      </w:r>
    </w:p>
    <w:p w14:paraId="75A1C57C" w14:textId="77777777" w:rsidR="00C13651" w:rsidRPr="00B61C5B" w:rsidRDefault="00C13651">
      <w:pPr>
        <w:numPr>
          <w:ilvl w:val="0"/>
          <w:numId w:val="3"/>
        </w:numPr>
      </w:pPr>
      <w:r w:rsidRPr="00B61C5B">
        <w:t>Nařízení č. 11/2014 Sb. hlavního města Prahy, kterým se stanovují obecné požadavky na využívání území a technické požadavky na stavby v hlavním městě Praze (pražské stavební předpisy)</w:t>
      </w:r>
    </w:p>
    <w:p w14:paraId="5A222832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4301 Obytné </w:t>
      </w:r>
      <w:proofErr w:type="gramStart"/>
      <w:r w:rsidRPr="00B61C5B">
        <w:t>budovy ;</w:t>
      </w:r>
      <w:proofErr w:type="gramEnd"/>
      <w:r w:rsidRPr="00B61C5B">
        <w:t xml:space="preserve"> + změna Z1, změna Z2, změna Z3</w:t>
      </w:r>
    </w:p>
    <w:p w14:paraId="6B6CF3A2" w14:textId="77777777" w:rsidR="00C13651" w:rsidRPr="00B61C5B" w:rsidRDefault="00C13651">
      <w:pPr>
        <w:numPr>
          <w:ilvl w:val="0"/>
          <w:numId w:val="3"/>
        </w:numPr>
      </w:pPr>
      <w:r w:rsidRPr="00B61C5B">
        <w:t>ČSN 73 5305 Administrativní budovy a prostory</w:t>
      </w:r>
    </w:p>
    <w:p w14:paraId="4DCB7627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r w:rsidRPr="00B61C5B">
        <w:rPr>
          <w:b/>
          <w:bCs/>
          <w:sz w:val="24"/>
          <w:szCs w:val="24"/>
        </w:rPr>
        <w:t>Provádění střešních plášťů</w:t>
      </w:r>
    </w:p>
    <w:p w14:paraId="11808A04" w14:textId="3F6E8C10" w:rsidR="00C13651" w:rsidRPr="00B61C5B" w:rsidRDefault="00C13651">
      <w:pPr>
        <w:numPr>
          <w:ilvl w:val="0"/>
          <w:numId w:val="3"/>
        </w:numPr>
      </w:pPr>
      <w:r w:rsidRPr="00B61C5B">
        <w:lastRenderedPageBreak/>
        <w:t>ČSN EN 988</w:t>
      </w:r>
      <w:r w:rsidRPr="00B61C5B">
        <w:tab/>
        <w:t xml:space="preserve">Zinek a slitiny </w:t>
      </w:r>
      <w:r w:rsidR="005B600E" w:rsidRPr="00B61C5B">
        <w:t>zinku – specifikace</w:t>
      </w:r>
      <w:r w:rsidRPr="00B61C5B">
        <w:t xml:space="preserve"> pro válcované ploché výrobky pro stavebnictví</w:t>
      </w:r>
    </w:p>
    <w:p w14:paraId="0B3B78BF" w14:textId="77777777" w:rsidR="00C13651" w:rsidRPr="00B61C5B" w:rsidRDefault="00C13651">
      <w:pPr>
        <w:numPr>
          <w:ilvl w:val="0"/>
          <w:numId w:val="3"/>
        </w:numPr>
      </w:pPr>
      <w:r w:rsidRPr="00B61C5B">
        <w:t>ČSN EN 612</w:t>
      </w:r>
      <w:r w:rsidRPr="00B61C5B">
        <w:tab/>
      </w:r>
      <w:r w:rsidRPr="00B61C5B">
        <w:rPr>
          <w:rFonts w:cs="Arial"/>
        </w:rPr>
        <w:t xml:space="preserve">Plechové okapové žlaby s </w:t>
      </w:r>
      <w:proofErr w:type="spellStart"/>
      <w:r w:rsidRPr="00B61C5B">
        <w:rPr>
          <w:rFonts w:cs="Arial"/>
        </w:rPr>
        <w:t>naválkou</w:t>
      </w:r>
      <w:proofErr w:type="spellEnd"/>
      <w:r w:rsidRPr="00B61C5B">
        <w:rPr>
          <w:rFonts w:cs="Arial"/>
        </w:rPr>
        <w:t xml:space="preserve"> a plechové dešťové odpadní trouby</w:t>
      </w:r>
    </w:p>
    <w:p w14:paraId="03940132" w14:textId="0FC4C347" w:rsidR="00C13651" w:rsidRPr="00B61C5B" w:rsidRDefault="00C13651">
      <w:pPr>
        <w:numPr>
          <w:ilvl w:val="0"/>
          <w:numId w:val="3"/>
        </w:numPr>
      </w:pPr>
      <w:r w:rsidRPr="00B61C5B">
        <w:t>ČSN EN 1179</w:t>
      </w:r>
      <w:r w:rsidRPr="00B61C5B">
        <w:tab/>
        <w:t xml:space="preserve">Zinek a slitiny </w:t>
      </w:r>
      <w:r w:rsidR="005B600E" w:rsidRPr="00B61C5B">
        <w:t>zinku – Primární</w:t>
      </w:r>
      <w:r w:rsidRPr="00B61C5B">
        <w:t xml:space="preserve"> zinek</w:t>
      </w:r>
    </w:p>
    <w:p w14:paraId="433760D0" w14:textId="43355B56" w:rsidR="00C13651" w:rsidRPr="00B61C5B" w:rsidRDefault="00C13651">
      <w:pPr>
        <w:numPr>
          <w:ilvl w:val="0"/>
          <w:numId w:val="3"/>
        </w:numPr>
      </w:pPr>
      <w:r w:rsidRPr="00B61C5B">
        <w:t>ČSN 731901</w:t>
      </w:r>
      <w:r w:rsidRPr="00B61C5B">
        <w:tab/>
        <w:t xml:space="preserve">Navrhování </w:t>
      </w:r>
      <w:r w:rsidR="005B600E" w:rsidRPr="00B61C5B">
        <w:t>střech – základní</w:t>
      </w:r>
      <w:r w:rsidRPr="00B61C5B">
        <w:t xml:space="preserve"> ustanovení; + změna Z1</w:t>
      </w:r>
    </w:p>
    <w:p w14:paraId="3E89D657" w14:textId="77777777" w:rsidR="00C13651" w:rsidRPr="00B61C5B" w:rsidRDefault="00C13651">
      <w:pPr>
        <w:numPr>
          <w:ilvl w:val="0"/>
          <w:numId w:val="3"/>
        </w:numPr>
      </w:pPr>
      <w:r w:rsidRPr="00B61C5B">
        <w:t>ČSN 733610</w:t>
      </w:r>
      <w:r w:rsidRPr="00B61C5B">
        <w:tab/>
        <w:t>Navrhování klempířských konstrukcí; + změna Z1</w:t>
      </w:r>
    </w:p>
    <w:p w14:paraId="48F0AC16" w14:textId="77777777" w:rsidR="00C13651" w:rsidRPr="00B61C5B" w:rsidRDefault="00C13651">
      <w:pPr>
        <w:numPr>
          <w:ilvl w:val="0"/>
          <w:numId w:val="3"/>
        </w:numPr>
      </w:pPr>
      <w:r w:rsidRPr="00B61C5B">
        <w:t>ČSN P 730600</w:t>
      </w:r>
      <w:r w:rsidRPr="00B61C5B">
        <w:tab/>
        <w:t>Hydroizolace staveb – Základní ustanovení</w:t>
      </w:r>
    </w:p>
    <w:p w14:paraId="540691B9" w14:textId="77777777" w:rsidR="00C13651" w:rsidRPr="00B61C5B" w:rsidRDefault="00C13651">
      <w:pPr>
        <w:numPr>
          <w:ilvl w:val="0"/>
          <w:numId w:val="3"/>
        </w:numPr>
      </w:pPr>
      <w:r w:rsidRPr="00B61C5B">
        <w:t>Eurocode 5</w:t>
      </w:r>
      <w:r w:rsidRPr="00B61C5B">
        <w:tab/>
        <w:t>Navrhování dřevěných konstrukcí</w:t>
      </w:r>
    </w:p>
    <w:p w14:paraId="1B1135DC" w14:textId="518E4A31" w:rsidR="00C13651" w:rsidRPr="00B61C5B" w:rsidRDefault="00C13651">
      <w:pPr>
        <w:numPr>
          <w:ilvl w:val="0"/>
          <w:numId w:val="3"/>
        </w:numPr>
      </w:pPr>
      <w:r w:rsidRPr="00B61C5B">
        <w:t xml:space="preserve">ČSN EN 1990 </w:t>
      </w:r>
      <w:r w:rsidRPr="00B61C5B">
        <w:tab/>
      </w:r>
      <w:r w:rsidR="005B600E" w:rsidRPr="00B61C5B">
        <w:t>Eurokód:</w:t>
      </w:r>
      <w:r w:rsidRPr="00B61C5B">
        <w:t xml:space="preserve"> Zásady navrhování konstrukcí; + změna A1, změna Z1, změna Z2, změna Z3</w:t>
      </w:r>
    </w:p>
    <w:p w14:paraId="7E4BEF9E" w14:textId="5AD5E06B" w:rsidR="00C13651" w:rsidRPr="00B61C5B" w:rsidRDefault="00C13651">
      <w:pPr>
        <w:numPr>
          <w:ilvl w:val="0"/>
          <w:numId w:val="3"/>
        </w:numPr>
      </w:pPr>
      <w:r w:rsidRPr="00B61C5B">
        <w:t>ČSN EN 1991-1-1 Eurokód 1</w:t>
      </w:r>
      <w:r w:rsidRPr="00B61C5B">
        <w:tab/>
        <w:t>Zatížení konstrukcí – část 1-</w:t>
      </w:r>
      <w:r w:rsidR="005B600E" w:rsidRPr="00B61C5B">
        <w:t>1: Obecná</w:t>
      </w:r>
      <w:r w:rsidRPr="00B61C5B">
        <w:t xml:space="preserve"> zatížení – Objemové tíhy, vlastní tíha a užitná zatížení pozemních staveb; + změna Z1, změna Z2</w:t>
      </w:r>
    </w:p>
    <w:p w14:paraId="4234712A" w14:textId="3ACC19A5" w:rsidR="00C13651" w:rsidRPr="00B61C5B" w:rsidRDefault="00C13651">
      <w:pPr>
        <w:numPr>
          <w:ilvl w:val="0"/>
          <w:numId w:val="3"/>
        </w:numPr>
      </w:pPr>
      <w:r w:rsidRPr="00B61C5B">
        <w:t>ČSN EN 1991-1-3 Eurokód 1</w:t>
      </w:r>
      <w:r w:rsidRPr="00B61C5B">
        <w:tab/>
        <w:t>Zatížení konstrukcí – část 1-</w:t>
      </w:r>
      <w:r w:rsidR="005B600E" w:rsidRPr="00B61C5B">
        <w:t>3: Obecná</w:t>
      </w:r>
      <w:r w:rsidRPr="00B61C5B">
        <w:t xml:space="preserve"> zatížení – Zatížení sněhem; + změna Z1, změna Z2, změna Z3, změna Z4, změna Z5</w:t>
      </w:r>
    </w:p>
    <w:p w14:paraId="70E64055" w14:textId="4AC84A29" w:rsidR="00C13651" w:rsidRPr="00B61C5B" w:rsidRDefault="00C13651">
      <w:pPr>
        <w:numPr>
          <w:ilvl w:val="0"/>
          <w:numId w:val="3"/>
        </w:numPr>
      </w:pPr>
      <w:r w:rsidRPr="00B61C5B">
        <w:t>ČSN EN 1991-1-4 Eurokód 1</w:t>
      </w:r>
      <w:r w:rsidRPr="00B61C5B">
        <w:tab/>
        <w:t>Zatížení konstrukcí – část 1-</w:t>
      </w:r>
      <w:r w:rsidR="005B600E" w:rsidRPr="00B61C5B">
        <w:t>4: Obecná</w:t>
      </w:r>
      <w:r w:rsidRPr="00B61C5B">
        <w:t xml:space="preserve"> zatížení – Zatížení větrem; + změna A1, změna Z1, změna Z2, změna Z3</w:t>
      </w:r>
    </w:p>
    <w:p w14:paraId="4C3EE22E" w14:textId="1A60B8B1" w:rsidR="00C13651" w:rsidRPr="00B61C5B" w:rsidRDefault="00C13651">
      <w:pPr>
        <w:numPr>
          <w:ilvl w:val="0"/>
          <w:numId w:val="3"/>
        </w:numPr>
      </w:pPr>
      <w:r w:rsidRPr="00B61C5B">
        <w:t>ČSN EN 1991-1-5 Eurokód 1</w:t>
      </w:r>
      <w:r w:rsidRPr="00B61C5B">
        <w:tab/>
        <w:t>Zatížení konstrukcí – část 1-</w:t>
      </w:r>
      <w:r w:rsidR="005B600E" w:rsidRPr="00B61C5B">
        <w:t>5: Obecná</w:t>
      </w:r>
      <w:r w:rsidRPr="00B61C5B">
        <w:t xml:space="preserve"> zatížení – Zatížení teplotou; + změna Z1, změna Z2</w:t>
      </w:r>
    </w:p>
    <w:p w14:paraId="2377EEBB" w14:textId="58DF6B4F" w:rsidR="00C13651" w:rsidRPr="00B61C5B" w:rsidRDefault="00C13651">
      <w:pPr>
        <w:numPr>
          <w:ilvl w:val="0"/>
          <w:numId w:val="3"/>
        </w:numPr>
      </w:pPr>
      <w:r w:rsidRPr="00B61C5B">
        <w:t>ČSN EN 1991-1-6 Eurokód 1</w:t>
      </w:r>
      <w:r w:rsidRPr="00B61C5B">
        <w:tab/>
        <w:t>Zatížení konstrukcí – část 1-</w:t>
      </w:r>
      <w:r w:rsidR="005B600E" w:rsidRPr="00B61C5B">
        <w:t>6: Obecná</w:t>
      </w:r>
      <w:r w:rsidRPr="00B61C5B">
        <w:t xml:space="preserve"> zatížení – Zatížení během provádění; + změna Z1, změna Z2, změna Z3, změna Z4</w:t>
      </w:r>
    </w:p>
    <w:p w14:paraId="4B0E449D" w14:textId="618EFC25" w:rsidR="00C13651" w:rsidRPr="00B61C5B" w:rsidRDefault="00C13651">
      <w:pPr>
        <w:numPr>
          <w:ilvl w:val="0"/>
          <w:numId w:val="3"/>
        </w:numPr>
      </w:pPr>
      <w:r w:rsidRPr="00B61C5B">
        <w:t>ČSN EN 1991-1-7 Eurokód 1</w:t>
      </w:r>
      <w:r w:rsidRPr="00B61C5B">
        <w:tab/>
        <w:t>Zatížení konstrukcí – část 1-</w:t>
      </w:r>
      <w:r w:rsidR="005B600E" w:rsidRPr="00B61C5B">
        <w:t>7: Obecná</w:t>
      </w:r>
      <w:r w:rsidRPr="00B61C5B">
        <w:t xml:space="preserve"> zatížení – Mimořádná zatížení; + změna Z1</w:t>
      </w:r>
    </w:p>
    <w:p w14:paraId="79078D4F" w14:textId="106CF6A0" w:rsidR="00C13651" w:rsidRPr="00B61C5B" w:rsidRDefault="00C13651" w:rsidP="00D00D7C">
      <w:pPr>
        <w:numPr>
          <w:ilvl w:val="0"/>
          <w:numId w:val="3"/>
        </w:numPr>
      </w:pPr>
      <w:r w:rsidRPr="00B61C5B">
        <w:t>ČSN EN 1991-3 Eurokód 1</w:t>
      </w:r>
      <w:r w:rsidRPr="00B61C5B">
        <w:tab/>
        <w:t xml:space="preserve">Zatížení konstrukcí – část </w:t>
      </w:r>
      <w:r w:rsidR="005B600E" w:rsidRPr="00B61C5B">
        <w:t>3: Zatížení</w:t>
      </w:r>
      <w:r w:rsidRPr="00B61C5B">
        <w:t xml:space="preserve"> od jeřábů a strojního vybavení; + změna Z1</w:t>
      </w:r>
    </w:p>
    <w:p w14:paraId="31C518D2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6" w:name="_Toc34231718"/>
      <w:r w:rsidRPr="00B61C5B">
        <w:rPr>
          <w:b/>
          <w:bCs/>
          <w:sz w:val="24"/>
          <w:szCs w:val="24"/>
        </w:rPr>
        <w:t>BOZP, pracovní prostředí, oslunění a osvětlení a akustika</w:t>
      </w:r>
      <w:bookmarkEnd w:id="26"/>
    </w:p>
    <w:p w14:paraId="7155F359" w14:textId="77777777" w:rsidR="00C13651" w:rsidRPr="00B61C5B" w:rsidRDefault="00C13651">
      <w:pPr>
        <w:numPr>
          <w:ilvl w:val="0"/>
          <w:numId w:val="4"/>
        </w:numPr>
      </w:pPr>
      <w:r w:rsidRPr="00B61C5B">
        <w:t xml:space="preserve">Zákon. č. 262/2006 Sb. Zákoník práce, ve znění zákona č. 585/2006 Sb., zákona č. 181/2007 Sb., zákona č. 261/2007 Sb., zákona 296/2007 Sb., zákona č. 362/2007, nálezu ÚS ČR č. 116/2008 Sb., zákona č. 121/2008 Sb., zákona č. 126/2008 Sb., </w:t>
      </w:r>
      <w:proofErr w:type="spellStart"/>
      <w:r w:rsidRPr="00B61C5B">
        <w:t>zákna</w:t>
      </w:r>
      <w:proofErr w:type="spellEnd"/>
      <w:r w:rsidRPr="00B61C5B">
        <w:t xml:space="preserve"> č. 294/2008 Sb., zákona č. 305/2008 Sb., zákona č. 306/2008 Sb., zákona č. 382/2008 Sb., zákona č. 286/2009 Sb., zákona č. 320/2009 Sb., zákona č. 326/2009 Sb., zákona č. 427/2010 Sb., zákona č. 73/2011 Sb., zákona č. 180/2011 Sb., zákona č. 185/2011 Sb., zákona č. 341/2011 Sb., zákona č. 364/2011 Sb., zákona č. 365/2011 Sb., zákona č. 367/2011 Sb., zákona č. 375/2011 Sb., zákona č. 458/2011 Sb., zákona č. 466/2011 Sb., zákona č. 167/2012 Sb., zákona č. 385/2012 Sb., zákona č. 396/2012 Sb., zákona č. 399/2012 Sb., zákona č. 155/2013 Sb., zákona č. 303/2013 Sb., zákona č. 101/2014 Sb., zákona č. 182/2014 Sb., zákona č. 250/2014 Sb. a vyhlášky č. 328/2014 Sb.</w:t>
      </w:r>
    </w:p>
    <w:p w14:paraId="09658CFB" w14:textId="77777777" w:rsidR="00C13651" w:rsidRPr="00B61C5B" w:rsidRDefault="00C13651">
      <w:pPr>
        <w:numPr>
          <w:ilvl w:val="0"/>
          <w:numId w:val="4"/>
        </w:numPr>
      </w:pPr>
      <w:r w:rsidRPr="00B61C5B">
        <w:t>Zákon č. 309/2006 Sb. o zajištění dalších podmínek bezpečnosti a ochrany zdraví při práci, ve znění zákona č. 362/2007 Sb., zákona č. 189/2008 Sb., zákona č. 223/2009 Sb., zákona č. 365/2011 Sb., zákona č. 375/2011 Sb. a zákona č. 225/2012 Sb.</w:t>
      </w:r>
    </w:p>
    <w:p w14:paraId="17DE1F2D" w14:textId="77777777" w:rsidR="00C13651" w:rsidRPr="00B61C5B" w:rsidRDefault="00C13651">
      <w:pPr>
        <w:numPr>
          <w:ilvl w:val="0"/>
          <w:numId w:val="4"/>
        </w:numPr>
      </w:pPr>
      <w:r w:rsidRPr="00B61C5B">
        <w:t>Nařízení vlády č. 101/2005 Sb., o podrobnějších požadavcích na pracoviště a pracovní prostředí.</w:t>
      </w:r>
    </w:p>
    <w:p w14:paraId="3F5EB858" w14:textId="77777777" w:rsidR="00C13651" w:rsidRPr="00B61C5B" w:rsidRDefault="00C13651">
      <w:pPr>
        <w:numPr>
          <w:ilvl w:val="0"/>
          <w:numId w:val="4"/>
        </w:numPr>
      </w:pPr>
      <w:r w:rsidRPr="00B61C5B">
        <w:t>Nařízení vlády č. 361/2007 Sb., kterým se stanoví podmínky ochrany zdraví při práci, ve znění nařízení vlády č. 68/2010 Sb., nařízení vlády č. 93/2012 Sb. a nařízení vlády č. 9/2013 Sb.</w:t>
      </w:r>
    </w:p>
    <w:p w14:paraId="2FD2EE3F" w14:textId="77777777" w:rsidR="00C13651" w:rsidRPr="00B61C5B" w:rsidRDefault="00C13651">
      <w:pPr>
        <w:numPr>
          <w:ilvl w:val="0"/>
          <w:numId w:val="4"/>
        </w:numPr>
      </w:pPr>
      <w:r w:rsidRPr="00B61C5B">
        <w:t>Nařízení vlády č. 378/2001 Sb., kterým se stanoví bližší požadavky na bezpečný provoz a používání strojů, technických zařízení, přístrojů a nářadí.</w:t>
      </w:r>
    </w:p>
    <w:p w14:paraId="4A0ABE67" w14:textId="77777777" w:rsidR="00C13651" w:rsidRPr="00B61C5B" w:rsidRDefault="00C13651">
      <w:pPr>
        <w:numPr>
          <w:ilvl w:val="0"/>
          <w:numId w:val="4"/>
        </w:numPr>
      </w:pPr>
      <w:r w:rsidRPr="00B61C5B">
        <w:t>Nařízení vlády č. 362/2005 Sb., o bližších požadavcích na bezpečnost a ochranu zdraví při práci na pracovištích s nebezpečím pádu z výšky nebo do hloubky.</w:t>
      </w:r>
    </w:p>
    <w:p w14:paraId="19375541" w14:textId="77777777" w:rsidR="00C13651" w:rsidRPr="00B61C5B" w:rsidRDefault="00C13651">
      <w:pPr>
        <w:numPr>
          <w:ilvl w:val="0"/>
          <w:numId w:val="4"/>
        </w:numPr>
      </w:pPr>
      <w:r w:rsidRPr="00B61C5B">
        <w:t>Nařízení vlády 591/2006 Sb. o bližších minimálních požadavcích na bezpečnost a ochranu zdraví při práci na staveništích</w:t>
      </w:r>
    </w:p>
    <w:p w14:paraId="7ACE5E4D" w14:textId="77777777" w:rsidR="00C13651" w:rsidRPr="00B61C5B" w:rsidRDefault="00C13651">
      <w:pPr>
        <w:numPr>
          <w:ilvl w:val="0"/>
          <w:numId w:val="4"/>
        </w:numPr>
      </w:pPr>
      <w:r w:rsidRPr="00B61C5B">
        <w:t>Vyhláška 571/2006 Sb. kterou se mění vyhláška č. 415/2003 Sb., kterou se stanoví podmínky k zajištění bezpečnosti a ochrany zdraví při práci a bezpečnosti provozu při svislé dopravě a chůzi</w:t>
      </w:r>
    </w:p>
    <w:p w14:paraId="5A0498F2" w14:textId="77777777" w:rsidR="00C13651" w:rsidRPr="00B61C5B" w:rsidRDefault="00C13651">
      <w:pPr>
        <w:numPr>
          <w:ilvl w:val="0"/>
          <w:numId w:val="4"/>
        </w:numPr>
      </w:pPr>
      <w:r w:rsidRPr="00B61C5B">
        <w:lastRenderedPageBreak/>
        <w:t>Vyhláška 601/2006 Sb. kterou se zrušuje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 324/1990 Sb., o bezpečnosti práce a technických zařízení při stavebních pracích</w:t>
      </w:r>
    </w:p>
    <w:p w14:paraId="7D6C682F" w14:textId="77777777" w:rsidR="00C13651" w:rsidRPr="00B61C5B" w:rsidRDefault="00C13651">
      <w:pPr>
        <w:numPr>
          <w:ilvl w:val="0"/>
          <w:numId w:val="4"/>
        </w:numPr>
        <w:shd w:val="clear" w:color="auto" w:fill="FFFFFF"/>
        <w:spacing w:before="35" w:after="176"/>
        <w:outlineLvl w:val="1"/>
        <w:rPr>
          <w:kern w:val="22"/>
        </w:rPr>
      </w:pPr>
      <w:r w:rsidRPr="00B61C5B">
        <w:t>Vyhláška č. 192/2005 Sb.,</w:t>
      </w:r>
      <w:r w:rsidRPr="00B61C5B">
        <w:rPr>
          <w:kern w:val="36"/>
        </w:rPr>
        <w:t xml:space="preserve"> kterou se mění vyhláška Českého úřadu bezpečnosti práce č. 48/1982 Sb., kterou se stanoví základní požadavky k zajištění bezpečnosti práce a technických </w:t>
      </w:r>
      <w:r w:rsidRPr="00B61C5B">
        <w:rPr>
          <w:kern w:val="22"/>
        </w:rPr>
        <w:t>zařízení, ve znění pozdějších předpisů</w:t>
      </w:r>
    </w:p>
    <w:p w14:paraId="3B4AECC1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7" w:name="_Toc34231719"/>
      <w:r w:rsidRPr="00B61C5B">
        <w:rPr>
          <w:b/>
          <w:bCs/>
          <w:sz w:val="24"/>
          <w:szCs w:val="24"/>
        </w:rPr>
        <w:t>Protipožární zabezpečení stavby</w:t>
      </w:r>
      <w:bookmarkEnd w:id="27"/>
    </w:p>
    <w:p w14:paraId="44698B52" w14:textId="77777777" w:rsidR="00C13651" w:rsidRPr="00B61C5B" w:rsidRDefault="00C13651">
      <w:pPr>
        <w:numPr>
          <w:ilvl w:val="0"/>
          <w:numId w:val="3"/>
        </w:numPr>
      </w:pPr>
      <w:r w:rsidRPr="00B61C5B">
        <w:t>Zákon ČNR 133/1985 Sb., o požární ochraně, ve znění zákona č. 40/1994 Sb., zákona č. 203/1994 Sb., zákona č. 163/1998 Sb., zákona č. 71/2000 Sb., zákona č. 237/2000 Sb., zákona č. 320/2002 Sb., zákona č. 413/2005 Sb., zákona č. 186/2006 Sb., zákona č. 281/2009 Sb., zákona č. 341/2011 Sb., zákona č. 350/2011 Sb., zákona č. 350/2012 Sb., zákona č. 303/2013 Sb., zákona č. 344/2013 Sb. a zákona č. 64/2014 Sb.</w:t>
      </w:r>
    </w:p>
    <w:p w14:paraId="20128F26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Vyhláška č. 23/2008 Sb. o technických podmínkách požární ochrany staveb, ve znění vyhlášky 268/2011 Sb.</w:t>
      </w:r>
    </w:p>
    <w:p w14:paraId="030A6DCA" w14:textId="77777777" w:rsidR="00C13651" w:rsidRPr="00B61C5B" w:rsidRDefault="00C13651">
      <w:pPr>
        <w:numPr>
          <w:ilvl w:val="0"/>
          <w:numId w:val="3"/>
        </w:numPr>
      </w:pPr>
      <w:r w:rsidRPr="00B61C5B">
        <w:rPr>
          <w:rFonts w:cs="Arial"/>
        </w:rPr>
        <w:t>Vyhláška č. 246/2001 Sb. o stanovení podmínek požární bezpečnosti a výkonu státního požárního dozoru (vyhláška o požární prevenci), ve znění vyhlášky č. 221/2014 Sb.</w:t>
      </w:r>
    </w:p>
    <w:p w14:paraId="42228EB6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0802 Požární bezpečnost </w:t>
      </w:r>
      <w:proofErr w:type="gramStart"/>
      <w:r w:rsidRPr="00B61C5B">
        <w:t>staveb - Nevýrobní</w:t>
      </w:r>
      <w:proofErr w:type="gramEnd"/>
      <w:r w:rsidRPr="00B61C5B">
        <w:t xml:space="preserve"> objekty; + změna Z1</w:t>
      </w:r>
    </w:p>
    <w:p w14:paraId="503F3634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0810 </w:t>
      </w:r>
      <w:r w:rsidRPr="00B61C5B">
        <w:rPr>
          <w:rFonts w:cs="Arial"/>
        </w:rPr>
        <w:t xml:space="preserve">Požární bezpečnost </w:t>
      </w:r>
      <w:proofErr w:type="gramStart"/>
      <w:r w:rsidRPr="00B61C5B">
        <w:rPr>
          <w:rFonts w:cs="Arial"/>
        </w:rPr>
        <w:t>staveb - Společná</w:t>
      </w:r>
      <w:proofErr w:type="gramEnd"/>
      <w:r w:rsidRPr="00B61C5B">
        <w:rPr>
          <w:rFonts w:cs="Arial"/>
        </w:rPr>
        <w:t xml:space="preserve"> ustanovení, + změna Z1, změna Z2, změna Z3</w:t>
      </w:r>
    </w:p>
    <w:p w14:paraId="240F44AE" w14:textId="77777777" w:rsidR="00C13651" w:rsidRPr="00B61C5B" w:rsidRDefault="00C13651">
      <w:pPr>
        <w:numPr>
          <w:ilvl w:val="0"/>
          <w:numId w:val="3"/>
        </w:numPr>
      </w:pPr>
      <w:r w:rsidRPr="00B61C5B">
        <w:t>ČSN 73 0818 Požární bezpečnost staveb. Obsazení objektů osobami; + změna Z1</w:t>
      </w:r>
    </w:p>
    <w:p w14:paraId="78CA8E3D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0821 ed.2 Požární bezpečnost </w:t>
      </w:r>
      <w:proofErr w:type="gramStart"/>
      <w:r w:rsidRPr="00B61C5B">
        <w:t>staveb - Požární</w:t>
      </w:r>
      <w:proofErr w:type="gramEnd"/>
      <w:r w:rsidRPr="00B61C5B">
        <w:t xml:space="preserve"> odolnost stavebních konstrukcí</w:t>
      </w:r>
    </w:p>
    <w:p w14:paraId="0DBFC1DC" w14:textId="77777777" w:rsidR="00C13651" w:rsidRPr="00B61C5B" w:rsidRDefault="00C13651">
      <w:pPr>
        <w:numPr>
          <w:ilvl w:val="0"/>
          <w:numId w:val="3"/>
        </w:numPr>
      </w:pPr>
      <w:r w:rsidRPr="00B61C5B">
        <w:t>ČSN 73 0833 Požární bezpečnost staveb. Budovy pro bydlení a ubytování; + změna Z1</w:t>
      </w:r>
    </w:p>
    <w:p w14:paraId="107CC69A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0834 Požární bezpečnost </w:t>
      </w:r>
      <w:proofErr w:type="gramStart"/>
      <w:r w:rsidRPr="00B61C5B">
        <w:t>staveb - Změny</w:t>
      </w:r>
      <w:proofErr w:type="gramEnd"/>
      <w:r w:rsidRPr="00B61C5B">
        <w:t xml:space="preserve"> staveb; + změna Z1, změna Z2</w:t>
      </w:r>
    </w:p>
    <w:p w14:paraId="13414596" w14:textId="6D79B92F" w:rsidR="00C13651" w:rsidRPr="00B61C5B" w:rsidRDefault="00C13651" w:rsidP="005B600E">
      <w:pPr>
        <w:numPr>
          <w:ilvl w:val="0"/>
          <w:numId w:val="3"/>
        </w:numPr>
      </w:pPr>
      <w:r w:rsidRPr="00B61C5B">
        <w:t>ČSN 73 0845 Požární bezpečnost staveb. Sklady</w:t>
      </w:r>
    </w:p>
    <w:p w14:paraId="4A1750BA" w14:textId="236FBBA0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8" w:name="_Toc34231720"/>
      <w:r w:rsidRPr="00B61C5B">
        <w:rPr>
          <w:b/>
          <w:bCs/>
          <w:sz w:val="24"/>
          <w:szCs w:val="24"/>
        </w:rPr>
        <w:t>Výkopy a zakládání stavby</w:t>
      </w:r>
      <w:bookmarkEnd w:id="28"/>
    </w:p>
    <w:p w14:paraId="7B80C31D" w14:textId="77777777" w:rsidR="00C13651" w:rsidRPr="00B61C5B" w:rsidRDefault="00C13651">
      <w:pPr>
        <w:numPr>
          <w:ilvl w:val="0"/>
          <w:numId w:val="3"/>
        </w:numPr>
      </w:pPr>
      <w:r w:rsidRPr="00B61C5B">
        <w:t>ČSN 73 6133 Návrh a provádění zemního tělesa pozemních komunikací</w:t>
      </w:r>
    </w:p>
    <w:p w14:paraId="3591A15C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29" w:name="_Toc34231722"/>
      <w:r w:rsidRPr="00B61C5B">
        <w:rPr>
          <w:b/>
          <w:bCs/>
          <w:sz w:val="24"/>
          <w:szCs w:val="24"/>
        </w:rPr>
        <w:t>Geometrická přesnost staveb</w:t>
      </w:r>
      <w:bookmarkEnd w:id="29"/>
    </w:p>
    <w:p w14:paraId="2EE82535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0202 </w:t>
      </w:r>
      <w:r w:rsidRPr="00B61C5B">
        <w:tab/>
      </w:r>
      <w:r w:rsidRPr="00B61C5B">
        <w:tab/>
        <w:t>Geometrická přesnost ve výstavbě. Základní ustanovení</w:t>
      </w:r>
    </w:p>
    <w:p w14:paraId="1AE8337B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0210-1 </w:t>
      </w:r>
      <w:r w:rsidRPr="00B61C5B">
        <w:tab/>
        <w:t>Geometrická přesnost ve výstavbě. Podmínky provádění. Část 1: Přesnost osazení</w:t>
      </w:r>
    </w:p>
    <w:p w14:paraId="590BA543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EN 13670 </w:t>
      </w:r>
      <w:r w:rsidRPr="00B61C5B">
        <w:tab/>
        <w:t>provádění betonových konstrukcí, + oprava Opr.1</w:t>
      </w:r>
    </w:p>
    <w:p w14:paraId="2ECFE24B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0212-1 </w:t>
      </w:r>
      <w:r w:rsidRPr="00B61C5B">
        <w:tab/>
        <w:t>Geometrická přesnost ve výstavbě. Kontrola přesnosti. Část 1: Základní ustanovení</w:t>
      </w:r>
    </w:p>
    <w:p w14:paraId="782920BF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0212-3 </w:t>
      </w:r>
      <w:r w:rsidRPr="00B61C5B">
        <w:tab/>
        <w:t>Geometrická přesnost ve výstavbě. Kontrola přesnosti. Část 3: Pozemní stavební objekty</w:t>
      </w:r>
    </w:p>
    <w:p w14:paraId="5CDA46DB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0212-4 </w:t>
      </w:r>
      <w:r w:rsidRPr="00B61C5B">
        <w:tab/>
        <w:t>Geometrická přesnost ve výstavbě. Kontrola přesnosti. Část 4: Liniové stavební objekty</w:t>
      </w:r>
    </w:p>
    <w:p w14:paraId="657DD537" w14:textId="63443CE7" w:rsidR="00C13651" w:rsidRPr="005B600E" w:rsidRDefault="00C13651" w:rsidP="005B600E">
      <w:pPr>
        <w:numPr>
          <w:ilvl w:val="0"/>
          <w:numId w:val="3"/>
        </w:numPr>
      </w:pPr>
      <w:r w:rsidRPr="00B61C5B">
        <w:t xml:space="preserve">ČSN 73 0212-5 </w:t>
      </w:r>
      <w:r w:rsidRPr="00B61C5B">
        <w:tab/>
        <w:t>Geometrická přesnost ve výstavbě. Kontrola přesnosti. Část 5: Kontrola přesnosti stavebních dílců</w:t>
      </w:r>
    </w:p>
    <w:p w14:paraId="3CE78356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r w:rsidRPr="00B61C5B">
        <w:rPr>
          <w:b/>
          <w:bCs/>
          <w:sz w:val="24"/>
          <w:szCs w:val="24"/>
        </w:rPr>
        <w:t>Hydroizolace</w:t>
      </w:r>
    </w:p>
    <w:p w14:paraId="18A63CC8" w14:textId="77777777" w:rsidR="00C13651" w:rsidRPr="00B61C5B" w:rsidRDefault="00C13651">
      <w:pPr>
        <w:numPr>
          <w:ilvl w:val="0"/>
          <w:numId w:val="3"/>
        </w:numPr>
      </w:pPr>
      <w:r w:rsidRPr="00B61C5B">
        <w:t>ČSN 64 6223 Plasty. Fólie z měkčeného polyvinylchloridu (PVC-P) pro izolace proti kapalinám. Normy jakosti; + změna Z1</w:t>
      </w:r>
    </w:p>
    <w:p w14:paraId="29A06E5E" w14:textId="0F7A540E" w:rsidR="00C13651" w:rsidRPr="00B61C5B" w:rsidRDefault="00C13651" w:rsidP="006D5F89">
      <w:pPr>
        <w:numPr>
          <w:ilvl w:val="0"/>
          <w:numId w:val="3"/>
        </w:numPr>
      </w:pPr>
      <w:r w:rsidRPr="00B61C5B">
        <w:t>ČSN P 73 0600 Hydroizolace staveb. Základní ustanovení</w:t>
      </w:r>
    </w:p>
    <w:p w14:paraId="6B965CB1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0" w:name="_Toc34231724"/>
      <w:r w:rsidRPr="00B61C5B">
        <w:rPr>
          <w:b/>
          <w:bCs/>
          <w:sz w:val="24"/>
          <w:szCs w:val="24"/>
        </w:rPr>
        <w:t>Svislé a vodorovné nosné konstrukce</w:t>
      </w:r>
      <w:bookmarkEnd w:id="30"/>
    </w:p>
    <w:p w14:paraId="026ED43C" w14:textId="77777777" w:rsidR="00C13651" w:rsidRPr="00B61C5B" w:rsidRDefault="00C13651">
      <w:pPr>
        <w:numPr>
          <w:ilvl w:val="0"/>
          <w:numId w:val="3"/>
        </w:numPr>
      </w:pPr>
      <w:r w:rsidRPr="00B61C5B">
        <w:lastRenderedPageBreak/>
        <w:t>ČSN 73 0602 Ochrana staveb proti radonu a gama záření ze stavebních materiálů</w:t>
      </w:r>
    </w:p>
    <w:p w14:paraId="141CF535" w14:textId="77777777" w:rsidR="00C13651" w:rsidRPr="00B61C5B" w:rsidRDefault="00C13651">
      <w:pPr>
        <w:numPr>
          <w:ilvl w:val="0"/>
          <w:numId w:val="3"/>
        </w:numPr>
      </w:pPr>
      <w:r w:rsidRPr="00B61C5B">
        <w:t>ČSN 73 1201 Navrhování betonových konstrukcí pozemních staveb</w:t>
      </w:r>
    </w:p>
    <w:p w14:paraId="333DB9BB" w14:textId="72631808" w:rsidR="00C13651" w:rsidRPr="00B61C5B" w:rsidRDefault="00C13651">
      <w:pPr>
        <w:numPr>
          <w:ilvl w:val="0"/>
          <w:numId w:val="3"/>
        </w:numPr>
      </w:pPr>
      <w:r w:rsidRPr="00B61C5B">
        <w:t xml:space="preserve">ČSN EN 1993-1-3 Eurokód 3: Navrhování ocelových konstrukcí – Část 1-3: Obecná </w:t>
      </w:r>
      <w:r w:rsidR="006D5F89" w:rsidRPr="00B61C5B">
        <w:t>pravidla – Doplňující</w:t>
      </w:r>
      <w:r w:rsidRPr="00B61C5B">
        <w:t xml:space="preserve"> pravidla pro tenkostěnné za studena tvarované prvky a plošné profily; + změna Z1</w:t>
      </w:r>
    </w:p>
    <w:p w14:paraId="642273FC" w14:textId="77777777" w:rsidR="00C13651" w:rsidRPr="00B61C5B" w:rsidRDefault="00C13651">
      <w:pPr>
        <w:numPr>
          <w:ilvl w:val="0"/>
          <w:numId w:val="3"/>
        </w:numPr>
      </w:pPr>
      <w:r w:rsidRPr="00B61C5B">
        <w:t>ČSN EN 1090-1+A1 Provádění ocelových konstrukcí a hliníkových konstrukcí – Část 1: Požadavky na posouzení shody konstrukčních dílců</w:t>
      </w:r>
    </w:p>
    <w:p w14:paraId="5D6A09A5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1" w:name="_Toc34231726"/>
      <w:r w:rsidRPr="00B61C5B">
        <w:rPr>
          <w:b/>
          <w:bCs/>
          <w:sz w:val="24"/>
          <w:szCs w:val="24"/>
        </w:rPr>
        <w:t>Podlahy</w:t>
      </w:r>
      <w:bookmarkEnd w:id="31"/>
    </w:p>
    <w:p w14:paraId="4800DD6D" w14:textId="2AF05DE1" w:rsidR="00C13651" w:rsidRPr="00B61C5B" w:rsidRDefault="00C13651">
      <w:pPr>
        <w:numPr>
          <w:ilvl w:val="0"/>
          <w:numId w:val="3"/>
        </w:numPr>
      </w:pPr>
      <w:r w:rsidRPr="00B61C5B">
        <w:t xml:space="preserve">ČSN 74 4505 </w:t>
      </w:r>
      <w:r w:rsidR="006D5F89" w:rsidRPr="00B61C5B">
        <w:t>Podlahy Společná</w:t>
      </w:r>
      <w:r w:rsidRPr="00B61C5B">
        <w:t xml:space="preserve"> ustanovení</w:t>
      </w:r>
    </w:p>
    <w:p w14:paraId="643B7A4F" w14:textId="77777777" w:rsidR="00C13651" w:rsidRPr="00B61C5B" w:rsidRDefault="00C13651">
      <w:pPr>
        <w:numPr>
          <w:ilvl w:val="0"/>
          <w:numId w:val="3"/>
        </w:numPr>
      </w:pPr>
      <w:r w:rsidRPr="00B61C5B">
        <w:t>ČSN 74 4507 Odolnost proti skluznosti povrchu podlah – Stanovení součinitele smykového tření</w:t>
      </w:r>
    </w:p>
    <w:p w14:paraId="1831EADC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2" w:name="_Toc34231728"/>
      <w:r w:rsidRPr="00B61C5B">
        <w:rPr>
          <w:b/>
          <w:bCs/>
          <w:sz w:val="24"/>
          <w:szCs w:val="24"/>
        </w:rPr>
        <w:t>Zastřešení</w:t>
      </w:r>
      <w:bookmarkEnd w:id="32"/>
    </w:p>
    <w:p w14:paraId="32F93D5B" w14:textId="77777777" w:rsidR="00C13651" w:rsidRPr="00B61C5B" w:rsidRDefault="00C13651">
      <w:pPr>
        <w:numPr>
          <w:ilvl w:val="0"/>
          <w:numId w:val="3"/>
        </w:numPr>
      </w:pPr>
      <w:r w:rsidRPr="00B61C5B">
        <w:t>ČSN EN 13111 Hydroizolační pásy a fólie. Pojistné hydroizolace pod skládané krytiny střech a zdí. Stanovení odolnosti proti propustnosti vody</w:t>
      </w:r>
    </w:p>
    <w:p w14:paraId="1EB38F0C" w14:textId="77777777" w:rsidR="00C13651" w:rsidRPr="00B61C5B" w:rsidRDefault="00C13651">
      <w:pPr>
        <w:numPr>
          <w:ilvl w:val="0"/>
          <w:numId w:val="3"/>
        </w:numPr>
      </w:pPr>
      <w:r w:rsidRPr="00B61C5B">
        <w:t>ČSN EN 501 Střešní výrobky pro plechové krytiny. Podmínky pro celoplošně podepřené krytiny ze zinkového plechu</w:t>
      </w:r>
    </w:p>
    <w:p w14:paraId="751273CE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73 1901 Navrhování </w:t>
      </w:r>
      <w:proofErr w:type="gramStart"/>
      <w:r w:rsidRPr="00B61C5B">
        <w:t>střech - Základní</w:t>
      </w:r>
      <w:proofErr w:type="gramEnd"/>
      <w:r w:rsidRPr="00B61C5B">
        <w:t xml:space="preserve"> ustanovení; + změna Z1</w:t>
      </w:r>
    </w:p>
    <w:p w14:paraId="57E9391A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3" w:name="_Toc34231730"/>
      <w:r w:rsidRPr="00B61C5B">
        <w:rPr>
          <w:b/>
          <w:bCs/>
          <w:sz w:val="24"/>
          <w:szCs w:val="24"/>
        </w:rPr>
        <w:t>Obklady a dlažby</w:t>
      </w:r>
      <w:bookmarkEnd w:id="33"/>
    </w:p>
    <w:p w14:paraId="29408BE3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72 5149 Keramické obkládačky a </w:t>
      </w:r>
      <w:proofErr w:type="gramStart"/>
      <w:r w:rsidRPr="00B61C5B">
        <w:t>dlaždice - Názvy</w:t>
      </w:r>
      <w:proofErr w:type="gramEnd"/>
      <w:r w:rsidRPr="00B61C5B">
        <w:t xml:space="preserve"> a definice</w:t>
      </w:r>
    </w:p>
    <w:p w14:paraId="6C8C5A3A" w14:textId="5F85DE4C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4" w:name="_Toc34231733"/>
      <w:r w:rsidRPr="00B61C5B">
        <w:rPr>
          <w:b/>
          <w:bCs/>
          <w:sz w:val="24"/>
          <w:szCs w:val="24"/>
        </w:rPr>
        <w:t>Konstrukce klempířské</w:t>
      </w:r>
      <w:bookmarkEnd w:id="34"/>
    </w:p>
    <w:p w14:paraId="5F6E4380" w14:textId="77777777" w:rsidR="00C13651" w:rsidRPr="00B61C5B" w:rsidRDefault="00C13651">
      <w:pPr>
        <w:numPr>
          <w:ilvl w:val="0"/>
          <w:numId w:val="3"/>
        </w:numPr>
      </w:pPr>
      <w:r w:rsidRPr="00B61C5B">
        <w:t>ČSN 73 3610 Navrhování klempířských konstrukcí; + změna Z1</w:t>
      </w:r>
    </w:p>
    <w:p w14:paraId="03776FE4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5" w:name="_Toc34231734"/>
      <w:r w:rsidRPr="00B61C5B">
        <w:rPr>
          <w:b/>
          <w:bCs/>
          <w:sz w:val="24"/>
          <w:szCs w:val="24"/>
        </w:rPr>
        <w:t>Natěračské práce</w:t>
      </w:r>
      <w:bookmarkEnd w:id="35"/>
    </w:p>
    <w:p w14:paraId="180C2099" w14:textId="77777777" w:rsidR="00C13651" w:rsidRPr="00B61C5B" w:rsidRDefault="00C13651">
      <w:pPr>
        <w:numPr>
          <w:ilvl w:val="0"/>
          <w:numId w:val="3"/>
        </w:numPr>
      </w:pPr>
      <w:r w:rsidRPr="00B61C5B">
        <w:t>ČSN EN ISO 12944-1 Nátěrové hmoty. Protikorozní ochrana ocelových konstrukcí ochrannými nátěrovými systémy. Část 1: Obecné zásady</w:t>
      </w:r>
    </w:p>
    <w:p w14:paraId="244B4BD9" w14:textId="77777777" w:rsidR="00C13651" w:rsidRPr="00B61C5B" w:rsidRDefault="00C13651">
      <w:pPr>
        <w:numPr>
          <w:ilvl w:val="0"/>
          <w:numId w:val="3"/>
        </w:numPr>
      </w:pPr>
      <w:r w:rsidRPr="00B61C5B">
        <w:t>ČSN EN ISO 12944-2 Nátěrové hmoty. Protikorozní ochrana ocelových konstrukcí ochrannými nátěrovými systémy. Část 2: Klasifikace vnějšího prostředí</w:t>
      </w:r>
    </w:p>
    <w:p w14:paraId="77A99B7F" w14:textId="77777777" w:rsidR="00C13651" w:rsidRPr="00B61C5B" w:rsidRDefault="00C13651">
      <w:pPr>
        <w:numPr>
          <w:ilvl w:val="0"/>
          <w:numId w:val="3"/>
        </w:numPr>
      </w:pPr>
      <w:r w:rsidRPr="00B61C5B">
        <w:t>ČSN EN ISO 12944-3 Nátěrové hmoty. Protikorozní ochrana ocelových konstrukcí ochrannými nátěrovými systémy. Část 3: Navrhování</w:t>
      </w:r>
    </w:p>
    <w:p w14:paraId="40BF44E8" w14:textId="77777777" w:rsidR="00C13651" w:rsidRPr="00B61C5B" w:rsidRDefault="00C13651">
      <w:pPr>
        <w:numPr>
          <w:ilvl w:val="0"/>
          <w:numId w:val="3"/>
        </w:numPr>
      </w:pPr>
      <w:r w:rsidRPr="00B61C5B">
        <w:t>ČSN EN ISO 12944-4 Nátěrové hmoty. Protikorozní ochrana ocelových konstrukcí ochrannými nátěrovými systémy. Část 4: Typy povrchů podkladů a jejich příprava</w:t>
      </w:r>
    </w:p>
    <w:p w14:paraId="04C3562C" w14:textId="77777777" w:rsidR="00C13651" w:rsidRPr="00B61C5B" w:rsidRDefault="00C13651">
      <w:pPr>
        <w:numPr>
          <w:ilvl w:val="0"/>
          <w:numId w:val="3"/>
        </w:numPr>
      </w:pPr>
      <w:r w:rsidRPr="00B61C5B">
        <w:t>ČSN EN ISO 12944-5 Nátěrové hmoty. Protikorozní ochrana ocelových konstrukcí ochrannými nátěrovými systémy. Část 5: Ochranné systémy</w:t>
      </w:r>
    </w:p>
    <w:p w14:paraId="54CD79F3" w14:textId="77777777" w:rsidR="00C13651" w:rsidRPr="00B61C5B" w:rsidRDefault="00C13651">
      <w:pPr>
        <w:numPr>
          <w:ilvl w:val="0"/>
          <w:numId w:val="3"/>
        </w:numPr>
      </w:pPr>
      <w:r w:rsidRPr="00B61C5B">
        <w:t>ČSN EN ISO 12944-7 Nátěrové hmoty. Protikorozní ochrana ocelových konstrukcí ochrannými nátěrovými systéme. Část 7: Provádění a dozor při zhotovování nátěrů</w:t>
      </w:r>
    </w:p>
    <w:p w14:paraId="69CC404F" w14:textId="77777777" w:rsidR="00C13651" w:rsidRPr="00B61C5B" w:rsidRDefault="00C13651">
      <w:pPr>
        <w:numPr>
          <w:ilvl w:val="0"/>
          <w:numId w:val="3"/>
        </w:numPr>
      </w:pPr>
      <w:r w:rsidRPr="00B61C5B">
        <w:t xml:space="preserve">ČSN EN ISO 12944-8 Nátěrové hmoty. Protikorozní ochrana ocelových konstrukcí ochrannými nátěrovými systéme. Část 8: Zpracování specifikací pro nové a údržbové </w:t>
      </w:r>
      <w:proofErr w:type="gramStart"/>
      <w:r w:rsidRPr="00B61C5B">
        <w:t>nátěry,+</w:t>
      </w:r>
      <w:proofErr w:type="gramEnd"/>
      <w:r w:rsidRPr="00B61C5B">
        <w:t xml:space="preserve"> oprava </w:t>
      </w:r>
      <w:proofErr w:type="spellStart"/>
      <w:r w:rsidRPr="00B61C5B">
        <w:t>Opr</w:t>
      </w:r>
      <w:proofErr w:type="spellEnd"/>
      <w:r w:rsidRPr="00B61C5B">
        <w:t>. 1</w:t>
      </w:r>
    </w:p>
    <w:p w14:paraId="601BF4CB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6" w:name="_Toc34231737"/>
      <w:r w:rsidRPr="00B61C5B">
        <w:rPr>
          <w:b/>
          <w:bCs/>
          <w:sz w:val="24"/>
          <w:szCs w:val="24"/>
        </w:rPr>
        <w:t>Úpravy v okolí objektu</w:t>
      </w:r>
      <w:bookmarkEnd w:id="36"/>
    </w:p>
    <w:p w14:paraId="2B8B0B01" w14:textId="77777777" w:rsidR="00C13651" w:rsidRPr="00B61C5B" w:rsidRDefault="00C13651">
      <w:pPr>
        <w:numPr>
          <w:ilvl w:val="0"/>
          <w:numId w:val="3"/>
        </w:numPr>
      </w:pPr>
      <w:r w:rsidRPr="00B61C5B">
        <w:t>ČSN 73 6131 Stavba vozovek – kryty z dlažeb a dílců</w:t>
      </w:r>
    </w:p>
    <w:p w14:paraId="1031F77D" w14:textId="77777777" w:rsidR="00C13651" w:rsidRPr="00B61C5B" w:rsidRDefault="00C13651">
      <w:pPr>
        <w:ind w:left="360"/>
      </w:pPr>
    </w:p>
    <w:p w14:paraId="67F02CE2" w14:textId="77777777" w:rsidR="00C13651" w:rsidRPr="00B61C5B" w:rsidRDefault="00C13651">
      <w:pPr>
        <w:spacing w:before="240" w:after="60"/>
        <w:rPr>
          <w:b/>
          <w:bCs/>
          <w:sz w:val="24"/>
          <w:szCs w:val="24"/>
        </w:rPr>
      </w:pPr>
      <w:bookmarkStart w:id="37" w:name="_Toc34231738"/>
      <w:r w:rsidRPr="00B61C5B">
        <w:rPr>
          <w:b/>
          <w:bCs/>
          <w:sz w:val="24"/>
          <w:szCs w:val="24"/>
        </w:rPr>
        <w:t>Požadavky na hygienické vybavení místností</w:t>
      </w:r>
      <w:bookmarkEnd w:id="37"/>
    </w:p>
    <w:p w14:paraId="0483AEF4" w14:textId="4A7D9BF7" w:rsidR="00C13651" w:rsidRPr="00EB30E2" w:rsidRDefault="00C13651" w:rsidP="00EB30E2">
      <w:pPr>
        <w:numPr>
          <w:ilvl w:val="0"/>
          <w:numId w:val="3"/>
        </w:numPr>
      </w:pPr>
      <w:r w:rsidRPr="00B61C5B">
        <w:t>Nařízení vlády č. 361/2007 Sb., kterým se stanoví podmínky ochrany zdraví při práci; ve znění nařízení vlády č. 68/2010 Sb., nařízení vlády č. 93/2012 Sb. a nařízení vlády č. 9/2013 Sb.</w:t>
      </w:r>
    </w:p>
    <w:p w14:paraId="4ADB8C19" w14:textId="77777777" w:rsidR="00C13651" w:rsidRPr="00F25C8E" w:rsidRDefault="00C13651">
      <w:pPr>
        <w:rPr>
          <w:rFonts w:ascii="Times New Roman" w:hAnsi="Times New Roman"/>
          <w:color w:val="FF0000"/>
        </w:rPr>
      </w:pPr>
    </w:p>
    <w:sectPr w:rsidR="00C13651" w:rsidRPr="00F25C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3DF5D" w14:textId="77777777" w:rsidR="00CC1297" w:rsidRDefault="00CC1297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0A75C7AC" w14:textId="77777777" w:rsidR="00CC1297" w:rsidRDefault="00CC1297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T">
    <w:altName w:val="Century Gothic"/>
    <w:panose1 w:val="020B0502020204020303"/>
    <w:charset w:val="EE"/>
    <w:family w:val="swiss"/>
    <w:pitch w:val="variable"/>
    <w:sig w:usb0="800003AF" w:usb1="0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02"/>
      <w:gridCol w:w="4500"/>
    </w:tblGrid>
    <w:tr w:rsidR="00C13651" w:rsidRPr="00EC20FC" w14:paraId="3940F675" w14:textId="77777777"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14:paraId="3E7C79B9" w14:textId="05910546" w:rsidR="00C13651" w:rsidRPr="00EC20FC" w:rsidRDefault="00C13651">
          <w:r w:rsidRPr="00EC20FC">
            <w:t xml:space="preserve">zak. č. </w:t>
          </w:r>
          <w:r w:rsidR="00D34750">
            <w:t>230602</w:t>
          </w: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14:paraId="48567E88" w14:textId="77777777" w:rsidR="00C13651" w:rsidRPr="00EC20FC" w:rsidRDefault="00C13651">
          <w:pPr>
            <w:jc w:val="right"/>
          </w:pPr>
          <w:r w:rsidRPr="00EC20FC">
            <w:t xml:space="preserve">strana </w:t>
          </w:r>
          <w:r w:rsidRPr="00EC20FC">
            <w:fldChar w:fldCharType="begin"/>
          </w:r>
          <w:r w:rsidRPr="00EC20FC">
            <w:instrText xml:space="preserve"> PAGE </w:instrText>
          </w:r>
          <w:r w:rsidRPr="00EC20FC">
            <w:fldChar w:fldCharType="separate"/>
          </w:r>
          <w:r w:rsidRPr="00EC20FC">
            <w:rPr>
              <w:noProof/>
            </w:rPr>
            <w:t>1</w:t>
          </w:r>
          <w:r w:rsidRPr="00EC20FC">
            <w:fldChar w:fldCharType="end"/>
          </w:r>
          <w:r w:rsidRPr="00EC20FC">
            <w:t xml:space="preserve"> (celkem </w:t>
          </w:r>
          <w:fldSimple w:instr=" NUMPAGES ">
            <w:r w:rsidRPr="00EC20FC">
              <w:rPr>
                <w:noProof/>
              </w:rPr>
              <w:t>15</w:t>
            </w:r>
          </w:fldSimple>
          <w:r w:rsidRPr="00EC20FC">
            <w:t>)</w:t>
          </w:r>
        </w:p>
      </w:tc>
    </w:tr>
  </w:tbl>
  <w:p w14:paraId="0C3BB22F" w14:textId="77777777" w:rsidR="00C13651" w:rsidRDefault="00C13651">
    <w:pPr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CD2A" w14:textId="77777777" w:rsidR="00CC1297" w:rsidRDefault="00CC1297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58D56D21" w14:textId="77777777" w:rsidR="00CC1297" w:rsidRDefault="00CC1297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7780" w14:textId="05896DDC" w:rsidR="00C13651" w:rsidRDefault="00C425DE">
    <w:pPr>
      <w:jc w:val="right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inline distT="0" distB="0" distL="0" distR="0" wp14:anchorId="1FB491AE" wp14:editId="245C572F">
          <wp:extent cx="5753735" cy="327660"/>
          <wp:effectExtent l="0" t="0" r="0" b="0"/>
          <wp:docPr id="1" name="obrázek 1" descr="atip_prouzek_vel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tip_prouzek_vel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08C2F84"/>
    <w:multiLevelType w:val="hybridMultilevel"/>
    <w:tmpl w:val="14DCAE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973B2A"/>
    <w:multiLevelType w:val="hybridMultilevel"/>
    <w:tmpl w:val="ACD86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A46E9"/>
    <w:multiLevelType w:val="multilevel"/>
    <w:tmpl w:val="7D7C7482"/>
    <w:lvl w:ilvl="0">
      <w:start w:val="1"/>
      <w:numFmt w:val="decimal"/>
      <w:pStyle w:val="slovanNadpis1"/>
      <w:suff w:val="space"/>
      <w:lvlText w:val="%1."/>
      <w:lvlJc w:val="left"/>
      <w:pPr>
        <w:ind w:left="0"/>
      </w:pPr>
      <w:rPr>
        <w:rFonts w:ascii="FuturaT" w:hAnsi="FuturaT" w:cs="Times New Roman" w:hint="default"/>
      </w:rPr>
    </w:lvl>
    <w:lvl w:ilvl="1">
      <w:start w:val="1"/>
      <w:numFmt w:val="decimal"/>
      <w:pStyle w:val="slovanNadpis2"/>
      <w:suff w:val="space"/>
      <w:lvlText w:val="%1.%2"/>
      <w:lvlJc w:val="left"/>
      <w:pPr>
        <w:ind w:left="3403"/>
      </w:pPr>
      <w:rPr>
        <w:rFonts w:ascii="FuturaT" w:hAnsi="FuturaT" w:cs="Times New Roman" w:hint="default"/>
      </w:rPr>
    </w:lvl>
    <w:lvl w:ilvl="2">
      <w:start w:val="1"/>
      <w:numFmt w:val="decimal"/>
      <w:pStyle w:val="slovanNadpis3"/>
      <w:suff w:val="space"/>
      <w:lvlText w:val="%1.%2.%3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9D21C90"/>
    <w:multiLevelType w:val="multilevel"/>
    <w:tmpl w:val="04463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Restart w:val="0"/>
      <w:suff w:val="space"/>
      <w:lvlText w:val="%2.%1.%3.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46B1F12"/>
    <w:multiLevelType w:val="hybridMultilevel"/>
    <w:tmpl w:val="361A07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4B14828"/>
    <w:multiLevelType w:val="hybridMultilevel"/>
    <w:tmpl w:val="F5401F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B7022B3"/>
    <w:multiLevelType w:val="hybridMultilevel"/>
    <w:tmpl w:val="C54C65E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EFF026C"/>
    <w:multiLevelType w:val="hybridMultilevel"/>
    <w:tmpl w:val="C680C34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1F6EC72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84746917">
    <w:abstractNumId w:val="7"/>
  </w:num>
  <w:num w:numId="2" w16cid:durableId="1732725821">
    <w:abstractNumId w:val="9"/>
  </w:num>
  <w:num w:numId="3" w16cid:durableId="955674976">
    <w:abstractNumId w:val="12"/>
  </w:num>
  <w:num w:numId="4" w16cid:durableId="1071733680">
    <w:abstractNumId w:val="5"/>
  </w:num>
  <w:num w:numId="5" w16cid:durableId="339158756">
    <w:abstractNumId w:val="11"/>
  </w:num>
  <w:num w:numId="6" w16cid:durableId="2033144267">
    <w:abstractNumId w:val="10"/>
  </w:num>
  <w:num w:numId="7" w16cid:durableId="1194923913">
    <w:abstractNumId w:val="7"/>
  </w:num>
  <w:num w:numId="8" w16cid:durableId="700588518">
    <w:abstractNumId w:val="7"/>
  </w:num>
  <w:num w:numId="9" w16cid:durableId="1086918207">
    <w:abstractNumId w:val="7"/>
  </w:num>
  <w:num w:numId="10" w16cid:durableId="1647852756">
    <w:abstractNumId w:val="7"/>
  </w:num>
  <w:num w:numId="11" w16cid:durableId="240139689">
    <w:abstractNumId w:val="7"/>
  </w:num>
  <w:num w:numId="12" w16cid:durableId="510028896">
    <w:abstractNumId w:val="7"/>
  </w:num>
  <w:num w:numId="13" w16cid:durableId="947812221">
    <w:abstractNumId w:val="7"/>
  </w:num>
  <w:num w:numId="14" w16cid:durableId="218060465">
    <w:abstractNumId w:val="7"/>
  </w:num>
  <w:num w:numId="15" w16cid:durableId="972253944">
    <w:abstractNumId w:val="7"/>
  </w:num>
  <w:num w:numId="16" w16cid:durableId="271791635">
    <w:abstractNumId w:val="7"/>
  </w:num>
  <w:num w:numId="17" w16cid:durableId="1098915586">
    <w:abstractNumId w:val="7"/>
  </w:num>
  <w:num w:numId="18" w16cid:durableId="685719122">
    <w:abstractNumId w:val="7"/>
  </w:num>
  <w:num w:numId="19" w16cid:durableId="1657420292">
    <w:abstractNumId w:val="7"/>
  </w:num>
  <w:num w:numId="20" w16cid:durableId="747458575">
    <w:abstractNumId w:val="7"/>
  </w:num>
  <w:num w:numId="21" w16cid:durableId="2084059118">
    <w:abstractNumId w:val="7"/>
  </w:num>
  <w:num w:numId="22" w16cid:durableId="1213036129">
    <w:abstractNumId w:val="7"/>
  </w:num>
  <w:num w:numId="23" w16cid:durableId="1668439927">
    <w:abstractNumId w:val="7"/>
  </w:num>
  <w:num w:numId="24" w16cid:durableId="255016272">
    <w:abstractNumId w:val="7"/>
  </w:num>
  <w:num w:numId="25" w16cid:durableId="1352607079">
    <w:abstractNumId w:val="7"/>
  </w:num>
  <w:num w:numId="26" w16cid:durableId="1712144251">
    <w:abstractNumId w:val="7"/>
  </w:num>
  <w:num w:numId="27" w16cid:durableId="599066909">
    <w:abstractNumId w:val="7"/>
  </w:num>
  <w:num w:numId="28" w16cid:durableId="938954201">
    <w:abstractNumId w:val="7"/>
  </w:num>
  <w:num w:numId="29" w16cid:durableId="932906532">
    <w:abstractNumId w:val="7"/>
  </w:num>
  <w:num w:numId="30" w16cid:durableId="210923507">
    <w:abstractNumId w:val="7"/>
  </w:num>
  <w:num w:numId="31" w16cid:durableId="914165477">
    <w:abstractNumId w:val="7"/>
  </w:num>
  <w:num w:numId="32" w16cid:durableId="1511027641">
    <w:abstractNumId w:val="7"/>
  </w:num>
  <w:num w:numId="33" w16cid:durableId="2052000009">
    <w:abstractNumId w:val="7"/>
  </w:num>
  <w:num w:numId="34" w16cid:durableId="904295126">
    <w:abstractNumId w:val="7"/>
  </w:num>
  <w:num w:numId="35" w16cid:durableId="1883981214">
    <w:abstractNumId w:val="7"/>
  </w:num>
  <w:num w:numId="36" w16cid:durableId="14357220">
    <w:abstractNumId w:val="8"/>
  </w:num>
  <w:num w:numId="37" w16cid:durableId="1929802410">
    <w:abstractNumId w:val="7"/>
  </w:num>
  <w:num w:numId="38" w16cid:durableId="1079408172">
    <w:abstractNumId w:val="7"/>
  </w:num>
  <w:num w:numId="39" w16cid:durableId="684215842">
    <w:abstractNumId w:val="7"/>
  </w:num>
  <w:num w:numId="40" w16cid:durableId="1865095948">
    <w:abstractNumId w:val="7"/>
  </w:num>
  <w:num w:numId="41" w16cid:durableId="1753965800">
    <w:abstractNumId w:val="7"/>
  </w:num>
  <w:num w:numId="42" w16cid:durableId="1798453379">
    <w:abstractNumId w:val="7"/>
  </w:num>
  <w:num w:numId="43" w16cid:durableId="935360562">
    <w:abstractNumId w:val="7"/>
  </w:num>
  <w:num w:numId="44" w16cid:durableId="575939248">
    <w:abstractNumId w:val="7"/>
  </w:num>
  <w:num w:numId="45" w16cid:durableId="1218127066">
    <w:abstractNumId w:val="7"/>
  </w:num>
  <w:num w:numId="46" w16cid:durableId="227153535">
    <w:abstractNumId w:val="6"/>
  </w:num>
  <w:num w:numId="47" w16cid:durableId="676886478">
    <w:abstractNumId w:val="7"/>
  </w:num>
  <w:num w:numId="48" w16cid:durableId="10066354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257"/>
    <w:rsid w:val="00002E74"/>
    <w:rsid w:val="00057987"/>
    <w:rsid w:val="000B48E8"/>
    <w:rsid w:val="000C7C79"/>
    <w:rsid w:val="000F2E90"/>
    <w:rsid w:val="000F4EDA"/>
    <w:rsid w:val="00113916"/>
    <w:rsid w:val="00123A32"/>
    <w:rsid w:val="001308AF"/>
    <w:rsid w:val="001311AE"/>
    <w:rsid w:val="00153332"/>
    <w:rsid w:val="00177C50"/>
    <w:rsid w:val="00180520"/>
    <w:rsid w:val="00192009"/>
    <w:rsid w:val="00192166"/>
    <w:rsid w:val="0019420D"/>
    <w:rsid w:val="001D0D98"/>
    <w:rsid w:val="00215FA0"/>
    <w:rsid w:val="00216458"/>
    <w:rsid w:val="002227DF"/>
    <w:rsid w:val="00223FAA"/>
    <w:rsid w:val="00246894"/>
    <w:rsid w:val="002544ED"/>
    <w:rsid w:val="002801BF"/>
    <w:rsid w:val="00280836"/>
    <w:rsid w:val="00291B16"/>
    <w:rsid w:val="002B2CAB"/>
    <w:rsid w:val="002B3773"/>
    <w:rsid w:val="002B6B7A"/>
    <w:rsid w:val="002E367A"/>
    <w:rsid w:val="002E7645"/>
    <w:rsid w:val="002F2A58"/>
    <w:rsid w:val="00302E3C"/>
    <w:rsid w:val="00335F9E"/>
    <w:rsid w:val="003601EF"/>
    <w:rsid w:val="00372687"/>
    <w:rsid w:val="003A10C9"/>
    <w:rsid w:val="003D1257"/>
    <w:rsid w:val="00407AAF"/>
    <w:rsid w:val="00425918"/>
    <w:rsid w:val="00425F96"/>
    <w:rsid w:val="00430D18"/>
    <w:rsid w:val="00437A80"/>
    <w:rsid w:val="00444F7D"/>
    <w:rsid w:val="00454397"/>
    <w:rsid w:val="00460286"/>
    <w:rsid w:val="00460E23"/>
    <w:rsid w:val="00474BC6"/>
    <w:rsid w:val="004955C8"/>
    <w:rsid w:val="004A66EA"/>
    <w:rsid w:val="004B63CE"/>
    <w:rsid w:val="004C5779"/>
    <w:rsid w:val="004D6D98"/>
    <w:rsid w:val="004E3421"/>
    <w:rsid w:val="00540AF6"/>
    <w:rsid w:val="005506CE"/>
    <w:rsid w:val="00562CC7"/>
    <w:rsid w:val="005902DC"/>
    <w:rsid w:val="005A5F52"/>
    <w:rsid w:val="005B600E"/>
    <w:rsid w:val="005B6CB5"/>
    <w:rsid w:val="00603B84"/>
    <w:rsid w:val="00613FD5"/>
    <w:rsid w:val="00615B68"/>
    <w:rsid w:val="00626779"/>
    <w:rsid w:val="00627561"/>
    <w:rsid w:val="0064097B"/>
    <w:rsid w:val="0069248C"/>
    <w:rsid w:val="00694C43"/>
    <w:rsid w:val="006B00C0"/>
    <w:rsid w:val="006B094E"/>
    <w:rsid w:val="006C0C15"/>
    <w:rsid w:val="006D5F89"/>
    <w:rsid w:val="00723830"/>
    <w:rsid w:val="00730CC4"/>
    <w:rsid w:val="007336C4"/>
    <w:rsid w:val="00740036"/>
    <w:rsid w:val="00742656"/>
    <w:rsid w:val="0075242B"/>
    <w:rsid w:val="00760E38"/>
    <w:rsid w:val="007A2D6C"/>
    <w:rsid w:val="007C595B"/>
    <w:rsid w:val="00804DA9"/>
    <w:rsid w:val="00821123"/>
    <w:rsid w:val="00822C66"/>
    <w:rsid w:val="00862701"/>
    <w:rsid w:val="008935AB"/>
    <w:rsid w:val="008D1E36"/>
    <w:rsid w:val="00994DD6"/>
    <w:rsid w:val="009A1AE1"/>
    <w:rsid w:val="009B1584"/>
    <w:rsid w:val="009B32A0"/>
    <w:rsid w:val="009B688D"/>
    <w:rsid w:val="009F1C0B"/>
    <w:rsid w:val="00A167C9"/>
    <w:rsid w:val="00A44BE4"/>
    <w:rsid w:val="00AA6B28"/>
    <w:rsid w:val="00AC2CED"/>
    <w:rsid w:val="00B14ABA"/>
    <w:rsid w:val="00B379D3"/>
    <w:rsid w:val="00B40822"/>
    <w:rsid w:val="00B45065"/>
    <w:rsid w:val="00B46FA4"/>
    <w:rsid w:val="00B557D1"/>
    <w:rsid w:val="00B61C5B"/>
    <w:rsid w:val="00B67926"/>
    <w:rsid w:val="00B712AB"/>
    <w:rsid w:val="00B71759"/>
    <w:rsid w:val="00B87B7C"/>
    <w:rsid w:val="00C13651"/>
    <w:rsid w:val="00C425DE"/>
    <w:rsid w:val="00C622CA"/>
    <w:rsid w:val="00C9531E"/>
    <w:rsid w:val="00CC1297"/>
    <w:rsid w:val="00CD2DD8"/>
    <w:rsid w:val="00D00D7C"/>
    <w:rsid w:val="00D05EA9"/>
    <w:rsid w:val="00D12132"/>
    <w:rsid w:val="00D26E7A"/>
    <w:rsid w:val="00D34750"/>
    <w:rsid w:val="00D43E55"/>
    <w:rsid w:val="00D83192"/>
    <w:rsid w:val="00DD08E0"/>
    <w:rsid w:val="00E058AF"/>
    <w:rsid w:val="00E145D1"/>
    <w:rsid w:val="00E62524"/>
    <w:rsid w:val="00E66094"/>
    <w:rsid w:val="00E86DEC"/>
    <w:rsid w:val="00E90DA2"/>
    <w:rsid w:val="00E95320"/>
    <w:rsid w:val="00EB30E2"/>
    <w:rsid w:val="00EC20FC"/>
    <w:rsid w:val="00ED0CEC"/>
    <w:rsid w:val="00EE4218"/>
    <w:rsid w:val="00EF4568"/>
    <w:rsid w:val="00F07685"/>
    <w:rsid w:val="00F22476"/>
    <w:rsid w:val="00F25C8E"/>
    <w:rsid w:val="00F51986"/>
    <w:rsid w:val="00F54178"/>
    <w:rsid w:val="00F73CBA"/>
    <w:rsid w:val="00F951B8"/>
    <w:rsid w:val="00FA0E48"/>
    <w:rsid w:val="00FA6679"/>
    <w:rsid w:val="00FA72B6"/>
    <w:rsid w:val="00FB04EC"/>
    <w:rsid w:val="00FB181A"/>
    <w:rsid w:val="00FB7462"/>
    <w:rsid w:val="00FC0046"/>
    <w:rsid w:val="00FC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0BDCD"/>
  <w15:chartTrackingRefBased/>
  <w15:docId w15:val="{72D4D30F-0A34-49F0-A5C8-6D1A88EB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87"/>
    <w:pPr>
      <w:jc w:val="both"/>
    </w:pPr>
    <w:rPr>
      <w:rFonts w:ascii="FuturaT" w:hAnsi="FuturaT" w:cs="FuturaT"/>
      <w:sz w:val="22"/>
      <w:szCs w:val="22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spacing w:after="200"/>
      <w:ind w:left="500"/>
      <w:outlineLvl w:val="3"/>
    </w:pPr>
    <w:rPr>
      <w:b/>
      <w:bCs/>
      <w:color w:val="000000"/>
      <w:sz w:val="24"/>
      <w:szCs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semiHidden/>
    <w:rPr>
      <w:b/>
      <w:bCs/>
      <w:sz w:val="28"/>
      <w:szCs w:val="28"/>
    </w:rPr>
  </w:style>
  <w:style w:type="character" w:customStyle="1" w:styleId="Nadpis5Char">
    <w:name w:val="Nadpis 5 Char"/>
    <w:semiHidden/>
    <w:rPr>
      <w:b/>
      <w:bCs/>
      <w:i/>
      <w:iCs/>
      <w:sz w:val="26"/>
      <w:szCs w:val="26"/>
    </w:rPr>
  </w:style>
  <w:style w:type="character" w:customStyle="1" w:styleId="Nadpis6Char1">
    <w:name w:val="Nadpis 6 Char1"/>
    <w:semiHidden/>
    <w:rPr>
      <w:b/>
      <w:bCs/>
    </w:rPr>
  </w:style>
  <w:style w:type="paragraph" w:customStyle="1" w:styleId="slovanNadpis1">
    <w:name w:val="Číslovaný Nadpis 1"/>
    <w:pPr>
      <w:keepNext/>
      <w:numPr>
        <w:numId w:val="1"/>
      </w:numPr>
      <w:tabs>
        <w:tab w:val="left" w:pos="1134"/>
      </w:tabs>
      <w:spacing w:before="240" w:after="60"/>
      <w:ind w:left="426"/>
      <w:jc w:val="both"/>
      <w:outlineLvl w:val="0"/>
    </w:pPr>
    <w:rPr>
      <w:rFonts w:ascii="FuturaT" w:hAnsi="FuturaT" w:cs="FuturaT"/>
      <w:b/>
      <w:bCs/>
      <w:sz w:val="24"/>
      <w:szCs w:val="24"/>
    </w:rPr>
  </w:style>
  <w:style w:type="paragraph" w:customStyle="1" w:styleId="slovanNadpis2">
    <w:name w:val="Číslovaný Nadpis 2"/>
    <w:next w:val="Normln"/>
    <w:pPr>
      <w:keepNext/>
      <w:numPr>
        <w:ilvl w:val="1"/>
        <w:numId w:val="1"/>
      </w:numPr>
      <w:spacing w:before="240" w:after="60"/>
      <w:outlineLvl w:val="1"/>
    </w:pPr>
    <w:rPr>
      <w:rFonts w:ascii="FuturaT" w:hAnsi="FuturaT" w:cs="FuturaT"/>
      <w:b/>
      <w:bCs/>
      <w:sz w:val="24"/>
      <w:szCs w:val="24"/>
    </w:rPr>
  </w:style>
  <w:style w:type="paragraph" w:customStyle="1" w:styleId="slovanNadpis3">
    <w:name w:val="Číslovaný Nadpis 3"/>
    <w:next w:val="Normln"/>
    <w:pPr>
      <w:keepNext/>
      <w:numPr>
        <w:ilvl w:val="2"/>
        <w:numId w:val="1"/>
      </w:numPr>
      <w:tabs>
        <w:tab w:val="left" w:pos="1134"/>
      </w:tabs>
      <w:spacing w:before="120" w:after="60"/>
      <w:outlineLvl w:val="2"/>
    </w:pPr>
    <w:rPr>
      <w:rFonts w:ascii="FuturaT" w:hAnsi="FuturaT" w:cs="FuturaT"/>
      <w:b/>
      <w:bCs/>
      <w:sz w:val="24"/>
      <w:szCs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semiHidden/>
    <w:rPr>
      <w:rFonts w:ascii="FuturaT" w:hAnsi="FuturaT" w:cs="FuturaT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ZpatChar">
    <w:name w:val="Zápatí Char"/>
    <w:semiHidden/>
    <w:rPr>
      <w:rFonts w:ascii="FuturaT" w:hAnsi="FuturaT" w:cs="FuturaT"/>
    </w:rPr>
  </w:style>
  <w:style w:type="paragraph" w:styleId="Zkladntext">
    <w:name w:val="Body Text"/>
    <w:basedOn w:val="Normln"/>
    <w:semiHidden/>
    <w:rPr>
      <w:b/>
      <w:bCs/>
      <w:sz w:val="28"/>
      <w:szCs w:val="28"/>
    </w:rPr>
  </w:style>
  <w:style w:type="character" w:customStyle="1" w:styleId="ZkladntextChar">
    <w:name w:val="Základní text Char"/>
    <w:semiHidden/>
    <w:rPr>
      <w:rFonts w:ascii="FuturaT" w:hAnsi="FuturaT" w:cs="FuturaT"/>
    </w:rPr>
  </w:style>
  <w:style w:type="paragraph" w:styleId="Zkladntextodsazen3">
    <w:name w:val="Body Text Indent 3"/>
    <w:basedOn w:val="Normln"/>
    <w:semiHidden/>
    <w:pPr>
      <w:ind w:firstLine="708"/>
    </w:pPr>
  </w:style>
  <w:style w:type="character" w:customStyle="1" w:styleId="Zkladntextodsazen3Char">
    <w:name w:val="Základní text odsazený 3 Char"/>
    <w:semiHidden/>
    <w:rPr>
      <w:rFonts w:ascii="FuturaT" w:hAnsi="FuturaT" w:cs="FuturaT"/>
      <w:sz w:val="16"/>
      <w:szCs w:val="16"/>
    </w:rPr>
  </w:style>
  <w:style w:type="paragraph" w:styleId="Obsah1">
    <w:name w:val="toc 1"/>
    <w:basedOn w:val="Normln"/>
    <w:next w:val="Normln"/>
    <w:autoRedefine/>
    <w:uiPriority w:val="39"/>
  </w:style>
  <w:style w:type="paragraph" w:styleId="Obsah2">
    <w:name w:val="toc 2"/>
    <w:basedOn w:val="Normln"/>
    <w:next w:val="Normln"/>
    <w:autoRedefine/>
    <w:uiPriority w:val="39"/>
    <w:pPr>
      <w:ind w:left="220"/>
    </w:pPr>
  </w:style>
  <w:style w:type="paragraph" w:styleId="Obsah3">
    <w:name w:val="toc 3"/>
    <w:basedOn w:val="Normln"/>
    <w:next w:val="Normln"/>
    <w:autoRedefine/>
    <w:semiHidden/>
    <w:pPr>
      <w:ind w:left="440"/>
    </w:pPr>
  </w:style>
  <w:style w:type="paragraph" w:styleId="Obsah4">
    <w:name w:val="toc 4"/>
    <w:basedOn w:val="Normln"/>
    <w:next w:val="Normln"/>
    <w:autoRedefine/>
    <w:semiHidden/>
    <w:pPr>
      <w:ind w:left="660"/>
    </w:pPr>
  </w:style>
  <w:style w:type="paragraph" w:styleId="Obsah5">
    <w:name w:val="toc 5"/>
    <w:basedOn w:val="Normln"/>
    <w:next w:val="Normln"/>
    <w:autoRedefine/>
    <w:semiHidden/>
    <w:pPr>
      <w:ind w:left="880"/>
    </w:pPr>
  </w:style>
  <w:style w:type="paragraph" w:styleId="Obsah6">
    <w:name w:val="toc 6"/>
    <w:basedOn w:val="Normln"/>
    <w:next w:val="Normln"/>
    <w:autoRedefine/>
    <w:semiHidden/>
    <w:pPr>
      <w:ind w:left="1100"/>
    </w:p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paragraph" w:styleId="Zkladntextodsazen">
    <w:name w:val="Body Text Indent"/>
    <w:basedOn w:val="Normln"/>
    <w:semiHidden/>
    <w:pPr>
      <w:ind w:firstLine="709"/>
    </w:pPr>
  </w:style>
  <w:style w:type="character" w:customStyle="1" w:styleId="ZkladntextodsazenChar">
    <w:name w:val="Základní text odsazený Char"/>
    <w:semiHidden/>
    <w:rPr>
      <w:rFonts w:ascii="FuturaT" w:hAnsi="FuturaT" w:cs="FuturaT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customStyle="1" w:styleId="Textpsmene">
    <w:name w:val="Text písmene"/>
    <w:basedOn w:val="Default"/>
    <w:next w:val="Default"/>
    <w:rPr>
      <w:color w:val="auto"/>
    </w:rPr>
  </w:style>
  <w:style w:type="paragraph" w:customStyle="1" w:styleId="Styl1">
    <w:name w:val="Styl1"/>
    <w:basedOn w:val="slovanNadpis1"/>
  </w:style>
  <w:style w:type="paragraph" w:styleId="Zkladntext2">
    <w:name w:val="Body Text 2"/>
    <w:basedOn w:val="Normln"/>
    <w:semiHidden/>
    <w:pPr>
      <w:spacing w:after="120" w:line="480" w:lineRule="auto"/>
    </w:pPr>
  </w:style>
  <w:style w:type="character" w:customStyle="1" w:styleId="Zkladntext2Char1">
    <w:name w:val="Základní text 2 Char1"/>
    <w:semiHidden/>
    <w:rPr>
      <w:rFonts w:ascii="FuturaT" w:hAnsi="FuturaT" w:cs="FuturaT"/>
    </w:rPr>
  </w:style>
  <w:style w:type="character" w:customStyle="1" w:styleId="slovanNadpis1Char">
    <w:name w:val="Číslovaný Nadpis 1 Char"/>
    <w:rPr>
      <w:rFonts w:ascii="FuturaT" w:hAnsi="FuturaT" w:cs="FuturaT"/>
      <w:b/>
      <w:bCs/>
      <w:sz w:val="24"/>
      <w:szCs w:val="24"/>
      <w:lang w:val="cs-CZ" w:eastAsia="cs-CZ"/>
    </w:rPr>
  </w:style>
  <w:style w:type="character" w:customStyle="1" w:styleId="Styl1Char">
    <w:name w:val="Styl1 Char"/>
    <w:basedOn w:val="slovanNadpis1Char"/>
    <w:rPr>
      <w:rFonts w:ascii="FuturaT" w:hAnsi="FuturaT" w:cs="FuturaT"/>
      <w:b/>
      <w:bCs/>
      <w:sz w:val="24"/>
      <w:szCs w:val="24"/>
      <w:lang w:val="cs-CZ" w:eastAsia="cs-CZ"/>
    </w:rPr>
  </w:style>
  <w:style w:type="character" w:customStyle="1" w:styleId="Zkladntext2Char">
    <w:name w:val="Základní text 2 Char"/>
    <w:rPr>
      <w:rFonts w:ascii="FuturaT" w:hAnsi="FuturaT" w:cs="FuturaT"/>
      <w:sz w:val="28"/>
      <w:szCs w:val="28"/>
    </w:rPr>
  </w:style>
  <w:style w:type="paragraph" w:styleId="Zkladntext3">
    <w:name w:val="Body Text 3"/>
    <w:basedOn w:val="Normln"/>
    <w:semiHidden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semiHidden/>
    <w:rPr>
      <w:rFonts w:ascii="FuturaT" w:hAnsi="FuturaT" w:cs="FuturaT"/>
      <w:sz w:val="16"/>
      <w:szCs w:val="16"/>
    </w:rPr>
  </w:style>
  <w:style w:type="character" w:customStyle="1" w:styleId="Zkladntext3Char">
    <w:name w:val="Základní text 3 Char"/>
    <w:rPr>
      <w:rFonts w:ascii="FuturaT" w:hAnsi="FuturaT" w:cs="FuturaT"/>
      <w:sz w:val="16"/>
      <w:szCs w:val="16"/>
    </w:rPr>
  </w:style>
  <w:style w:type="paragraph" w:customStyle="1" w:styleId="Rejstk">
    <w:name w:val="Rejstřík"/>
    <w:basedOn w:val="Normln"/>
    <w:pPr>
      <w:suppressLineNumbers/>
      <w:suppressAutoHyphens/>
    </w:pPr>
    <w:rPr>
      <w:lang w:eastAsia="ar-SA"/>
    </w:rPr>
  </w:style>
  <w:style w:type="paragraph" w:customStyle="1" w:styleId="Normln0">
    <w:name w:val="Normální~~~"/>
    <w:basedOn w:val="Normln"/>
    <w:pPr>
      <w:widowControl w:val="0"/>
      <w:suppressAutoHyphens/>
      <w:spacing w:line="288" w:lineRule="auto"/>
      <w:jc w:val="left"/>
    </w:pPr>
    <w:rPr>
      <w:rFonts w:cs="Times New Roman"/>
      <w:sz w:val="24"/>
      <w:szCs w:val="24"/>
      <w:lang w:eastAsia="ar-SA"/>
    </w:rPr>
  </w:style>
  <w:style w:type="paragraph" w:customStyle="1" w:styleId="Zkladntextodsazen32">
    <w:name w:val="Základní text odsazený 32"/>
    <w:basedOn w:val="Normln"/>
    <w:pPr>
      <w:suppressAutoHyphens/>
      <w:ind w:firstLine="708"/>
    </w:pPr>
    <w:rPr>
      <w:lang w:eastAsia="ar-SA"/>
    </w:rPr>
  </w:style>
  <w:style w:type="paragraph" w:customStyle="1" w:styleId="Zkladntextodsazen21">
    <w:name w:val="Základní text odsazený 21"/>
    <w:basedOn w:val="Normln"/>
    <w:pPr>
      <w:suppressAutoHyphens/>
      <w:ind w:firstLine="540"/>
    </w:pPr>
    <w:rPr>
      <w:lang w:eastAsia="ar-SA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styleId="Siln">
    <w:name w:val="Strong"/>
    <w:qFormat/>
    <w:rPr>
      <w:b/>
      <w:bCs/>
    </w:rPr>
  </w:style>
  <w:style w:type="paragraph" w:customStyle="1" w:styleId="Zkladntext0">
    <w:name w:val="Základní text~"/>
    <w:basedOn w:val="Normln"/>
    <w:pPr>
      <w:widowControl w:val="0"/>
      <w:suppressAutoHyphens/>
      <w:spacing w:line="288" w:lineRule="auto"/>
      <w:jc w:val="left"/>
    </w:pPr>
    <w:rPr>
      <w:rFonts w:cs="Times New Roman"/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rFonts w:cs="Times New Roman"/>
      <w:sz w:val="24"/>
      <w:szCs w:val="24"/>
    </w:rPr>
  </w:style>
  <w:style w:type="character" w:customStyle="1" w:styleId="NzevChar">
    <w:name w:val="Název Char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14ABA"/>
    <w:pPr>
      <w:spacing w:after="160" w:line="259" w:lineRule="auto"/>
      <w:ind w:left="720"/>
      <w:contextualSpacing/>
      <w:jc w:val="left"/>
    </w:pPr>
    <w:rPr>
      <w:rFonts w:ascii="Arial Narrow" w:eastAsia="Calibri" w:hAnsi="Arial Narrow" w:cs="Times New Roman"/>
      <w:lang w:eastAsia="en-US"/>
    </w:rPr>
  </w:style>
  <w:style w:type="paragraph" w:customStyle="1" w:styleId="KARnormal">
    <w:name w:val="KAR_normal"/>
    <w:basedOn w:val="Normln"/>
    <w:link w:val="KARnormalChar"/>
    <w:rsid w:val="00B14ABA"/>
    <w:pPr>
      <w:widowControl w:val="0"/>
    </w:pPr>
    <w:rPr>
      <w:rFonts w:ascii="Arial" w:hAnsi="Arial" w:cs="Times New Roman"/>
    </w:rPr>
  </w:style>
  <w:style w:type="character" w:customStyle="1" w:styleId="KARnormalChar">
    <w:name w:val="KAR_normal Char"/>
    <w:link w:val="KARnormal"/>
    <w:rsid w:val="00B14ABA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2436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akce:</vt:lpstr>
    </vt:vector>
  </TitlesOfParts>
  <Company>ATIP a.s.</Company>
  <LinksUpToDate>false</LinksUpToDate>
  <CharactersWithSpaces>16653</CharactersWithSpaces>
  <SharedDoc>false</SharedDoc>
  <HLinks>
    <vt:vector size="192" baseType="variant"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_Toc438106328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_Toc438106327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_Toc438106326</vt:lpwstr>
      </vt:variant>
      <vt:variant>
        <vt:i4>1114175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_Toc438106325</vt:lpwstr>
      </vt:variant>
      <vt:variant>
        <vt:i4>1114175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_Toc438106324</vt:lpwstr>
      </vt:variant>
      <vt:variant>
        <vt:i4>1114175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_Toc438106323</vt:lpwstr>
      </vt:variant>
      <vt:variant>
        <vt:i4>1114175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_Toc438106322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_Toc438106321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_Toc438106320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_Toc438106319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_Toc438106318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_Toc438106317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_Toc438106316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_Toc438106315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_Toc438106314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_Toc438106313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_Toc438106312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_Toc438106311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_Toc438106310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_Toc438106309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_Toc438106308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_Toc438106307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_Toc438106306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_Toc438106305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_Toc438106304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_Toc438106303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_Toc438106302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_Toc438106301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_Toc438106300</vt:lpwstr>
      </vt:variant>
      <vt:variant>
        <vt:i4>1703998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_Toc438106299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_Toc438106298</vt:lpwstr>
      </vt:variant>
      <vt:variant>
        <vt:i4>1703998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_Toc438106297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akce:</dc:title>
  <dc:subject/>
  <dc:creator>Michal Bedrník</dc:creator>
  <cp:keywords/>
  <cp:lastModifiedBy>Štěpán Zaňka</cp:lastModifiedBy>
  <cp:revision>12</cp:revision>
  <cp:lastPrinted>2015-09-21T11:15:00Z</cp:lastPrinted>
  <dcterms:created xsi:type="dcterms:W3CDTF">2022-03-03T15:05:00Z</dcterms:created>
  <dcterms:modified xsi:type="dcterms:W3CDTF">2023-02-13T09:41:00Z</dcterms:modified>
</cp:coreProperties>
</file>