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4D1817EF" w14:textId="77777777" w:rsidR="00C00E6A" w:rsidRPr="00C00E6A" w:rsidRDefault="00EB6DF5" w:rsidP="00C00E6A">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C00E6A" w:rsidRPr="00C00E6A">
        <w:rPr>
          <w:rFonts w:asciiTheme="minorHAnsi" w:hAnsiTheme="minorHAnsi" w:cstheme="minorHAnsi"/>
          <w:b/>
          <w:bCs/>
          <w:sz w:val="32"/>
          <w:szCs w:val="32"/>
        </w:rPr>
        <w:t xml:space="preserve">Dodávka didaktických pomůcek a prvků vnitřní konektivity – </w:t>
      </w:r>
    </w:p>
    <w:p w14:paraId="717CE3FE" w14:textId="305B0597" w:rsidR="00EB6DF5" w:rsidRPr="00EB6DF5" w:rsidRDefault="00C00E6A" w:rsidP="00C00E6A">
      <w:pPr>
        <w:ind w:left="-425" w:right="-709"/>
        <w:jc w:val="center"/>
        <w:rPr>
          <w:rFonts w:asciiTheme="minorHAnsi" w:hAnsiTheme="minorHAnsi" w:cstheme="minorHAnsi"/>
          <w:b/>
          <w:bCs/>
          <w:sz w:val="32"/>
          <w:szCs w:val="32"/>
        </w:rPr>
      </w:pPr>
      <w:r w:rsidRPr="00C00E6A">
        <w:rPr>
          <w:rFonts w:asciiTheme="minorHAnsi" w:hAnsiTheme="minorHAnsi" w:cstheme="minorHAnsi"/>
          <w:b/>
          <w:bCs/>
          <w:sz w:val="32"/>
          <w:szCs w:val="32"/>
        </w:rPr>
        <w:t>Základní škola, Trutnov, R. Frimla 816</w:t>
      </w:r>
      <w:r w:rsidR="00EB6DF5" w:rsidRPr="00EB6DF5">
        <w:rPr>
          <w:rFonts w:asciiTheme="minorHAnsi" w:hAnsiTheme="minorHAnsi" w:cstheme="minorHAnsi"/>
          <w:b/>
          <w:bCs/>
          <w:sz w:val="32"/>
          <w:szCs w:val="32"/>
        </w:rPr>
        <w:t>“</w:t>
      </w:r>
    </w:p>
    <w:p w14:paraId="608F4DCB" w14:textId="77777777" w:rsidR="007A39C1" w:rsidRPr="00EB6DF5" w:rsidRDefault="007A39C1" w:rsidP="007A39C1">
      <w:pPr>
        <w:ind w:left="-142" w:right="-284"/>
        <w:jc w:val="center"/>
        <w:rPr>
          <w:rFonts w:asciiTheme="minorHAnsi" w:hAnsiTheme="minorHAnsi" w:cstheme="minorHAnsi"/>
          <w:b/>
          <w:bCs/>
          <w:sz w:val="28"/>
          <w:szCs w:val="28"/>
        </w:rPr>
      </w:pPr>
    </w:p>
    <w:p w14:paraId="221AC716" w14:textId="77777777" w:rsidR="000B6071" w:rsidRPr="00B24660" w:rsidRDefault="000B6071" w:rsidP="000B6071">
      <w:pPr>
        <w:pStyle w:val="Odstavecseseznamem"/>
        <w:spacing w:before="240" w:after="240"/>
        <w:jc w:val="center"/>
        <w:rPr>
          <w:rFonts w:asciiTheme="minorHAnsi" w:hAnsiTheme="minorHAnsi" w:cstheme="minorHAnsi"/>
          <w:b/>
          <w:bCs/>
          <w:sz w:val="24"/>
          <w:szCs w:val="24"/>
        </w:rPr>
      </w:pPr>
      <w:r w:rsidRPr="00B24660">
        <w:rPr>
          <w:rFonts w:asciiTheme="minorHAnsi" w:hAnsiTheme="minorHAnsi" w:cstheme="minorHAnsi"/>
          <w:bCs/>
          <w:color w:val="000000"/>
          <w:sz w:val="24"/>
          <w:szCs w:val="24"/>
        </w:rPr>
        <w:t xml:space="preserve">její </w:t>
      </w:r>
      <w:r w:rsidRPr="00B24660">
        <w:rPr>
          <w:rFonts w:asciiTheme="minorHAnsi" w:hAnsiTheme="minorHAnsi" w:cstheme="minorHAnsi"/>
          <w:sz w:val="24"/>
          <w:szCs w:val="24"/>
          <w:u w:val="single"/>
        </w:rPr>
        <w:t>3. část</w:t>
      </w:r>
      <w:r w:rsidRPr="00B24660">
        <w:rPr>
          <w:rFonts w:asciiTheme="minorHAnsi" w:hAnsiTheme="minorHAnsi" w:cstheme="minorHAnsi"/>
          <w:sz w:val="24"/>
          <w:szCs w:val="24"/>
        </w:rPr>
        <w:t>:</w:t>
      </w:r>
      <w:r w:rsidRPr="00B24660">
        <w:rPr>
          <w:rFonts w:asciiTheme="minorHAnsi" w:hAnsiTheme="minorHAnsi" w:cstheme="minorHAnsi"/>
          <w:b/>
          <w:bCs/>
          <w:sz w:val="24"/>
          <w:szCs w:val="24"/>
        </w:rPr>
        <w:t xml:space="preserve"> </w:t>
      </w:r>
      <w:r w:rsidRPr="00B24660">
        <w:rPr>
          <w:rFonts w:asciiTheme="minorHAnsi" w:hAnsiTheme="minorHAnsi" w:cstheme="minorHAnsi"/>
          <w:b/>
          <w:bCs/>
          <w:color w:val="1F4E79" w:themeColor="accent1" w:themeShade="80"/>
          <w:sz w:val="24"/>
          <w:szCs w:val="24"/>
        </w:rPr>
        <w:t>„</w:t>
      </w:r>
      <w:r w:rsidRPr="00B24660">
        <w:rPr>
          <w:rFonts w:asciiTheme="minorHAnsi" w:hAnsiTheme="minorHAnsi" w:cstheme="minorHAnsi"/>
          <w:b/>
          <w:color w:val="1F4E79"/>
          <w:sz w:val="24"/>
          <w:szCs w:val="24"/>
        </w:rPr>
        <w:t>Didaktické pomůcky pro výuku – školní dílny, chemie a fyzika</w:t>
      </w:r>
      <w:r w:rsidRPr="00B24660">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1C2A4FFC" w14:textId="77777777" w:rsidR="00B56F20" w:rsidRPr="00DF3078" w:rsidRDefault="00B56F20" w:rsidP="00B56F20">
      <w:pPr>
        <w:spacing w:line="360" w:lineRule="auto"/>
        <w:rPr>
          <w:rFonts w:ascii="Calibri" w:hAnsi="Calibri" w:cs="Calibri"/>
          <w:b/>
          <w:sz w:val="22"/>
          <w:szCs w:val="22"/>
        </w:rPr>
      </w:pPr>
      <w:r w:rsidRPr="00DF3078">
        <w:rPr>
          <w:rFonts w:ascii="Calibri" w:hAnsi="Calibri" w:cs="Calibri"/>
          <w:b/>
          <w:sz w:val="22"/>
          <w:szCs w:val="22"/>
        </w:rPr>
        <w:t>Kupující:</w:t>
      </w:r>
      <w:r w:rsidRPr="00DF3078">
        <w:rPr>
          <w:rFonts w:ascii="Calibri" w:hAnsi="Calibri" w:cs="Calibri"/>
          <w:b/>
          <w:sz w:val="22"/>
          <w:szCs w:val="22"/>
        </w:rPr>
        <w:tab/>
      </w:r>
      <w:r w:rsidRPr="00DF3078">
        <w:rPr>
          <w:rFonts w:ascii="Calibri" w:hAnsi="Calibri" w:cs="Calibri"/>
          <w:b/>
          <w:sz w:val="22"/>
          <w:szCs w:val="22"/>
        </w:rPr>
        <w:tab/>
        <w:t xml:space="preserve">Základní škola, Trutnov, </w:t>
      </w:r>
      <w:proofErr w:type="spellStart"/>
      <w:r w:rsidRPr="00DF3078">
        <w:rPr>
          <w:rFonts w:ascii="Calibri" w:hAnsi="Calibri" w:cs="Calibri"/>
          <w:b/>
          <w:sz w:val="22"/>
          <w:szCs w:val="22"/>
        </w:rPr>
        <w:t>R.Frimla</w:t>
      </w:r>
      <w:proofErr w:type="spellEnd"/>
      <w:r w:rsidRPr="00DF3078">
        <w:rPr>
          <w:rFonts w:ascii="Calibri" w:hAnsi="Calibri" w:cs="Calibri"/>
          <w:b/>
          <w:sz w:val="22"/>
          <w:szCs w:val="22"/>
        </w:rPr>
        <w:t xml:space="preserve"> 816</w:t>
      </w:r>
    </w:p>
    <w:p w14:paraId="1E4B2AE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Se sídlem:</w:t>
      </w:r>
      <w:r w:rsidRPr="00DF3078">
        <w:rPr>
          <w:rFonts w:ascii="Calibri" w:hAnsi="Calibri" w:cs="Calibri"/>
          <w:bCs/>
          <w:sz w:val="22"/>
          <w:szCs w:val="22"/>
        </w:rPr>
        <w:tab/>
      </w:r>
      <w:r w:rsidRPr="00DF3078">
        <w:rPr>
          <w:rFonts w:ascii="Calibri" w:hAnsi="Calibri" w:cs="Calibri"/>
          <w:bCs/>
          <w:sz w:val="22"/>
          <w:szCs w:val="22"/>
        </w:rPr>
        <w:tab/>
        <w:t>Rudolfa Frimla 816, 541 01 Trutnov</w:t>
      </w:r>
    </w:p>
    <w:p w14:paraId="44BA784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Zastoupený:</w:t>
      </w:r>
      <w:r w:rsidRPr="00DF3078">
        <w:rPr>
          <w:rFonts w:ascii="Calibri" w:hAnsi="Calibri" w:cs="Calibri"/>
          <w:bCs/>
          <w:sz w:val="22"/>
          <w:szCs w:val="22"/>
        </w:rPr>
        <w:tab/>
      </w:r>
      <w:r w:rsidRPr="00DF3078">
        <w:rPr>
          <w:rFonts w:ascii="Calibri" w:hAnsi="Calibri" w:cs="Calibri"/>
          <w:bCs/>
          <w:sz w:val="22"/>
          <w:szCs w:val="22"/>
        </w:rPr>
        <w:tab/>
        <w:t>Mgr. Jitka Libřická, ředitelka školy</w:t>
      </w:r>
    </w:p>
    <w:p w14:paraId="40A5F046" w14:textId="24C9979E" w:rsidR="00B56F20" w:rsidRPr="00DF3078" w:rsidRDefault="00B56F20" w:rsidP="00B56F20">
      <w:pPr>
        <w:rPr>
          <w:rFonts w:ascii="Calibri" w:hAnsi="Calibri" w:cs="Calibri"/>
          <w:bCs/>
          <w:sz w:val="22"/>
          <w:szCs w:val="22"/>
        </w:rPr>
      </w:pPr>
      <w:r w:rsidRPr="00DF3078">
        <w:rPr>
          <w:rFonts w:ascii="Calibri" w:hAnsi="Calibri" w:cs="Calibri"/>
          <w:bCs/>
          <w:sz w:val="22"/>
          <w:szCs w:val="22"/>
        </w:rPr>
        <w:t>IČ</w:t>
      </w:r>
      <w:r w:rsidR="00BE13C6">
        <w:rPr>
          <w:rFonts w:ascii="Calibri" w:hAnsi="Calibri" w:cs="Calibri"/>
          <w:bCs/>
          <w:sz w:val="22"/>
          <w:szCs w:val="22"/>
        </w:rPr>
        <w:t>O</w:t>
      </w:r>
      <w:r w:rsidRPr="00DF3078">
        <w:rPr>
          <w:rFonts w:ascii="Calibri" w:hAnsi="Calibri" w:cs="Calibri"/>
          <w:bCs/>
          <w:sz w:val="22"/>
          <w:szCs w:val="22"/>
        </w:rPr>
        <w:t>:</w:t>
      </w:r>
      <w:r w:rsidRPr="00DF3078">
        <w:rPr>
          <w:rFonts w:ascii="Calibri" w:hAnsi="Calibri" w:cs="Calibri"/>
          <w:bCs/>
          <w:sz w:val="22"/>
          <w:szCs w:val="22"/>
        </w:rPr>
        <w:tab/>
      </w:r>
      <w:r w:rsidRPr="00DF3078">
        <w:rPr>
          <w:rFonts w:ascii="Calibri" w:hAnsi="Calibri" w:cs="Calibri"/>
          <w:bCs/>
          <w:sz w:val="22"/>
          <w:szCs w:val="22"/>
        </w:rPr>
        <w:tab/>
      </w:r>
      <w:r w:rsidRPr="00DF3078">
        <w:rPr>
          <w:rFonts w:ascii="Calibri" w:hAnsi="Calibri" w:cs="Calibri"/>
          <w:bCs/>
          <w:sz w:val="22"/>
          <w:szCs w:val="22"/>
        </w:rPr>
        <w:tab/>
        <w:t>64201139</w:t>
      </w:r>
      <w:r w:rsidRPr="00DF3078">
        <w:rPr>
          <w:rFonts w:ascii="Calibri" w:hAnsi="Calibri" w:cs="Calibri"/>
          <w:bCs/>
          <w:sz w:val="22"/>
          <w:szCs w:val="22"/>
        </w:rPr>
        <w:tab/>
      </w:r>
      <w:r w:rsidRPr="00DF3078">
        <w:rPr>
          <w:rFonts w:ascii="Calibri" w:hAnsi="Calibri" w:cs="Calibri"/>
          <w:bCs/>
          <w:sz w:val="22"/>
          <w:szCs w:val="22"/>
        </w:rPr>
        <w:tab/>
      </w:r>
    </w:p>
    <w:p w14:paraId="38FF8027"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 xml:space="preserve">Bankovní spojení: </w:t>
      </w:r>
      <w:r w:rsidRPr="00DF3078">
        <w:rPr>
          <w:rFonts w:ascii="Calibri" w:hAnsi="Calibri" w:cs="Calibri"/>
          <w:bCs/>
          <w:sz w:val="22"/>
          <w:szCs w:val="22"/>
        </w:rPr>
        <w:tab/>
        <w:t>Komerční banka, a.s.</w:t>
      </w:r>
    </w:p>
    <w:p w14:paraId="3CE42006" w14:textId="77777777" w:rsidR="00B56F20" w:rsidRPr="00DF3078" w:rsidRDefault="00B56F20" w:rsidP="00B56F20">
      <w:pPr>
        <w:spacing w:line="360" w:lineRule="auto"/>
        <w:rPr>
          <w:rFonts w:ascii="Calibri" w:hAnsi="Calibri" w:cs="Calibri"/>
          <w:bCs/>
          <w:sz w:val="22"/>
          <w:szCs w:val="22"/>
        </w:rPr>
      </w:pPr>
      <w:r w:rsidRPr="00DF3078">
        <w:rPr>
          <w:rFonts w:ascii="Calibri" w:hAnsi="Calibri" w:cs="Calibri"/>
          <w:bCs/>
          <w:sz w:val="22"/>
          <w:szCs w:val="22"/>
        </w:rPr>
        <w:t xml:space="preserve">Číslo účtu: </w:t>
      </w:r>
      <w:r w:rsidRPr="00DF3078">
        <w:rPr>
          <w:rFonts w:ascii="Calibri" w:hAnsi="Calibri" w:cs="Calibri"/>
          <w:bCs/>
          <w:sz w:val="22"/>
          <w:szCs w:val="22"/>
        </w:rPr>
        <w:tab/>
      </w:r>
      <w:r w:rsidRPr="00DF3078">
        <w:rPr>
          <w:rFonts w:ascii="Calibri" w:hAnsi="Calibri" w:cs="Calibri"/>
          <w:bCs/>
          <w:sz w:val="22"/>
          <w:szCs w:val="22"/>
        </w:rPr>
        <w:tab/>
        <w:t>31828601 /0100</w:t>
      </w:r>
    </w:p>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soudem  v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3AAA83F7" w:rsidR="00E26A63" w:rsidRPr="00C00E6A" w:rsidRDefault="00E26A63" w:rsidP="00C00E6A">
      <w:pPr>
        <w:pStyle w:val="Odstavecseseznamem"/>
        <w:numPr>
          <w:ilvl w:val="1"/>
          <w:numId w:val="16"/>
        </w:numPr>
        <w:spacing w:after="120"/>
        <w:jc w:val="both"/>
        <w:rPr>
          <w:rFonts w:asciiTheme="minorHAnsi" w:hAnsiTheme="minorHAnsi" w:cstheme="minorHAnsi"/>
          <w:sz w:val="22"/>
          <w:szCs w:val="22"/>
        </w:rPr>
      </w:pPr>
      <w:r w:rsidRPr="00C00E6A">
        <w:rPr>
          <w:rFonts w:asciiTheme="minorHAnsi" w:hAnsiTheme="minorHAnsi" w:cstheme="minorHAnsi"/>
          <w:sz w:val="22"/>
          <w:szCs w:val="22"/>
        </w:rPr>
        <w:t>Tato smlouva se uzavírá za účelem realizace veřejné zakázky na dodávk</w:t>
      </w:r>
      <w:r w:rsidR="000861CB" w:rsidRPr="00C00E6A">
        <w:rPr>
          <w:rFonts w:asciiTheme="minorHAnsi" w:hAnsiTheme="minorHAnsi" w:cstheme="minorHAnsi"/>
          <w:sz w:val="22"/>
          <w:szCs w:val="22"/>
        </w:rPr>
        <w:t>y</w:t>
      </w:r>
      <w:r w:rsidRPr="00C00E6A">
        <w:rPr>
          <w:rFonts w:asciiTheme="minorHAnsi" w:hAnsiTheme="minorHAnsi" w:cstheme="minorHAnsi"/>
          <w:sz w:val="22"/>
          <w:szCs w:val="22"/>
        </w:rPr>
        <w:t xml:space="preserve"> s názvem: </w:t>
      </w:r>
      <w:r w:rsidR="00EB6DF5" w:rsidRPr="00C00E6A">
        <w:rPr>
          <w:rFonts w:ascii="Calibri" w:hAnsi="Calibri" w:cs="Calibri"/>
          <w:bCs/>
          <w:sz w:val="22"/>
          <w:szCs w:val="22"/>
        </w:rPr>
        <w:t>„</w:t>
      </w:r>
      <w:r w:rsidR="00C00E6A" w:rsidRPr="00C00E6A">
        <w:rPr>
          <w:rFonts w:ascii="Calibri" w:hAnsi="Calibri" w:cs="Calibri"/>
          <w:bCs/>
          <w:sz w:val="22"/>
          <w:szCs w:val="22"/>
        </w:rPr>
        <w:t>Dodávka didaktických pomůcek a prvků vnitřní konektivity – Základní škola, Trutnov, R. Frimla 816</w:t>
      </w:r>
      <w:r w:rsidR="00EB6DF5" w:rsidRPr="00C00E6A">
        <w:rPr>
          <w:rFonts w:ascii="Calibri" w:hAnsi="Calibri" w:cs="Calibri"/>
          <w:bCs/>
          <w:sz w:val="22"/>
          <w:szCs w:val="22"/>
        </w:rPr>
        <w:t>“</w:t>
      </w:r>
      <w:r w:rsidR="00DF3078" w:rsidRPr="00C00E6A">
        <w:rPr>
          <w:rFonts w:ascii="Calibri" w:hAnsi="Calibri" w:cs="Calibri"/>
          <w:bCs/>
          <w:sz w:val="22"/>
          <w:szCs w:val="22"/>
        </w:rPr>
        <w:t xml:space="preserve">, </w:t>
      </w:r>
      <w:r w:rsidR="00BE13C6">
        <w:rPr>
          <w:rFonts w:ascii="Calibri" w:hAnsi="Calibri" w:cs="Calibri"/>
          <w:bCs/>
          <w:sz w:val="22"/>
          <w:szCs w:val="22"/>
        </w:rPr>
        <w:t xml:space="preserve">a to konkrétně </w:t>
      </w:r>
      <w:r w:rsidR="00DF3078" w:rsidRPr="00C00E6A">
        <w:rPr>
          <w:rFonts w:ascii="Calibri" w:hAnsi="Calibri" w:cs="Calibri"/>
          <w:bCs/>
          <w:sz w:val="22"/>
          <w:szCs w:val="22"/>
        </w:rPr>
        <w:t xml:space="preserve">její </w:t>
      </w:r>
      <w:r w:rsidR="000B6071" w:rsidRPr="000B6071">
        <w:rPr>
          <w:rFonts w:ascii="Calibri" w:hAnsi="Calibri" w:cs="Calibri"/>
          <w:bCs/>
          <w:sz w:val="22"/>
          <w:szCs w:val="22"/>
        </w:rPr>
        <w:t>3. část: „Didaktické pomůcky pro výuku – školní dílny, chemie a fyzika“</w:t>
      </w:r>
      <w:r w:rsidR="007A39C1" w:rsidRPr="00DF3078">
        <w:rPr>
          <w:rFonts w:ascii="Calibri" w:hAnsi="Calibri" w:cs="Calibri"/>
          <w:bCs/>
          <w:sz w:val="22"/>
          <w:szCs w:val="22"/>
        </w:rPr>
        <w:t xml:space="preserve"> </w:t>
      </w:r>
      <w:r w:rsidRPr="00C00E6A">
        <w:rPr>
          <w:rFonts w:asciiTheme="minorHAnsi" w:hAnsiTheme="minorHAnsi" w:cstheme="minorHAnsi"/>
          <w:iCs/>
          <w:sz w:val="22"/>
          <w:szCs w:val="22"/>
        </w:rPr>
        <w:t xml:space="preserve">(dále též jako „veřejná zakázka“), </w:t>
      </w:r>
      <w:r w:rsidRPr="00C00E6A">
        <w:rPr>
          <w:rFonts w:asciiTheme="minorHAnsi" w:hAnsiTheme="minorHAnsi" w:cstheme="minorHAnsi"/>
          <w:sz w:val="22"/>
          <w:szCs w:val="22"/>
        </w:rPr>
        <w:t xml:space="preserve">zadané kupujícím jako veřejným zadavatelem </w:t>
      </w:r>
      <w:r w:rsidR="00423203" w:rsidRPr="00C00E6A">
        <w:rPr>
          <w:rFonts w:asciiTheme="minorHAnsi" w:hAnsiTheme="minorHAnsi" w:cstheme="minorHAnsi"/>
          <w:sz w:val="22"/>
          <w:szCs w:val="22"/>
        </w:rPr>
        <w:t xml:space="preserve">v otevřeném řízení dle § 56 a 57 </w:t>
      </w:r>
      <w:r w:rsidR="001D6954" w:rsidRPr="00C00E6A">
        <w:rPr>
          <w:rFonts w:asciiTheme="minorHAnsi" w:hAnsiTheme="minorHAnsi" w:cstheme="minorHAnsi"/>
          <w:sz w:val="22"/>
          <w:szCs w:val="22"/>
        </w:rPr>
        <w:t>zákona č. 134/2016 Sb., o zadávání veřejných zakázek, v platném znění (dále jen „ZZVZ“)</w:t>
      </w:r>
      <w:r w:rsidRPr="00C00E6A">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41AB1421"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DF3078" w:rsidRPr="00DF3078">
        <w:rPr>
          <w:rFonts w:asciiTheme="minorHAnsi" w:hAnsiTheme="minorHAnsi" w:cstheme="minorHAnsi"/>
          <w:sz w:val="22"/>
          <w:szCs w:val="22"/>
        </w:rPr>
        <w:t xml:space="preserve">Modernizace odborných učeben - Základní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xml:space="preserve">. č. CZ.06.04.01/00/22_111/0001596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28DE23BD" w14:textId="3ADE6067" w:rsidR="000861CB" w:rsidRPr="00EB6DF5" w:rsidRDefault="00E26A63" w:rsidP="00EB6DF5">
      <w:pPr>
        <w:pStyle w:val="Odstavecseseznamem"/>
        <w:numPr>
          <w:ilvl w:val="1"/>
          <w:numId w:val="32"/>
        </w:numPr>
        <w:spacing w:after="120"/>
        <w:ind w:left="567" w:hanging="567"/>
        <w:jc w:val="both"/>
        <w:rPr>
          <w:rFonts w:asciiTheme="minorHAnsi" w:hAnsiTheme="minorHAnsi" w:cstheme="minorHAnsi"/>
          <w:sz w:val="22"/>
          <w:szCs w:val="22"/>
        </w:rPr>
      </w:pPr>
      <w:r w:rsidRPr="00EB6DF5">
        <w:rPr>
          <w:rFonts w:asciiTheme="minorHAnsi" w:hAnsiTheme="minorHAnsi" w:cstheme="minorHAnsi"/>
          <w:sz w:val="22"/>
          <w:szCs w:val="22"/>
        </w:rPr>
        <w:t>Místem dodání zboží je sídlo kupujícího, tedy</w:t>
      </w:r>
      <w:r w:rsidR="000861CB" w:rsidRPr="00EB6DF5">
        <w:rPr>
          <w:rFonts w:asciiTheme="minorHAnsi" w:hAnsiTheme="minorHAnsi" w:cstheme="minorHAnsi"/>
          <w:sz w:val="22"/>
          <w:szCs w:val="22"/>
        </w:rPr>
        <w:t>:</w:t>
      </w:r>
      <w:r w:rsidRPr="00EB6DF5">
        <w:rPr>
          <w:rFonts w:asciiTheme="minorHAnsi" w:hAnsiTheme="minorHAnsi" w:cstheme="minorHAnsi"/>
          <w:sz w:val="22"/>
          <w:szCs w:val="22"/>
        </w:rPr>
        <w:t xml:space="preserve"> </w:t>
      </w:r>
      <w:r w:rsidR="00DF3078" w:rsidRPr="00DF3078">
        <w:rPr>
          <w:rFonts w:asciiTheme="minorHAnsi" w:hAnsiTheme="minorHAnsi" w:cstheme="minorHAnsi"/>
          <w:sz w:val="22"/>
          <w:szCs w:val="22"/>
        </w:rPr>
        <w:t>Rudolfa Frimla 816, 541 01 Trutnov, Česká republika</w:t>
      </w:r>
      <w:r w:rsidRPr="00EB6DF5">
        <w:rPr>
          <w:rFonts w:asciiTheme="minorHAnsi" w:hAnsiTheme="minorHAnsi" w:cstheme="minorHAnsi"/>
          <w:sz w:val="22"/>
          <w:szCs w:val="22"/>
        </w:rPr>
        <w:t xml:space="preserve">. </w:t>
      </w:r>
    </w:p>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nikoliv však povinen, převzít zboží i v případech uvedených v odst. 3.7 tohoto článku smlouvy. Jestliže kupující zboží od prodávajícího v takovém případě převezme, </w:t>
      </w:r>
      <w:r w:rsidRPr="000861CB">
        <w:rPr>
          <w:rFonts w:asciiTheme="minorHAnsi" w:hAnsiTheme="minorHAnsi" w:cstheme="minorHAnsi"/>
          <w:sz w:val="22"/>
          <w:szCs w:val="22"/>
        </w:rPr>
        <w:lastRenderedPageBreak/>
        <w:t xml:space="preserve">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0"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0"/>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772AFCAF"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DF3078" w:rsidRPr="00DF3078">
        <w:rPr>
          <w:rFonts w:asciiTheme="minorHAnsi" w:hAnsiTheme="minorHAnsi" w:cstheme="minorHAnsi"/>
          <w:sz w:val="22"/>
          <w:szCs w:val="22"/>
        </w:rPr>
        <w:t xml:space="preserve">Modernizace odborných </w:t>
      </w:r>
      <w:proofErr w:type="gramStart"/>
      <w:r w:rsidR="00DF3078" w:rsidRPr="00DF3078">
        <w:rPr>
          <w:rFonts w:asciiTheme="minorHAnsi" w:hAnsiTheme="minorHAnsi" w:cstheme="minorHAnsi"/>
          <w:sz w:val="22"/>
          <w:szCs w:val="22"/>
        </w:rPr>
        <w:t>učeben - Základní</w:t>
      </w:r>
      <w:proofErr w:type="gramEnd"/>
      <w:r w:rsidR="00DF3078" w:rsidRPr="00DF3078">
        <w:rPr>
          <w:rFonts w:asciiTheme="minorHAnsi" w:hAnsiTheme="minorHAnsi" w:cstheme="minorHAnsi"/>
          <w:sz w:val="22"/>
          <w:szCs w:val="22"/>
        </w:rPr>
        <w:t xml:space="preserve">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č. CZ.06.04.01/00/22_111/0001596</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3D141123" w14:textId="4A3CA51C" w:rsidR="000977F1" w:rsidRPr="000977F1" w:rsidRDefault="000977F1" w:rsidP="00571A46">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Kupující si v souladu s § 100 odst. 1 ZZVZ vyhrazuje právo uznání požadavku </w:t>
      </w:r>
      <w:r w:rsidR="00571A46">
        <w:rPr>
          <w:rFonts w:asciiTheme="minorHAnsi" w:hAnsiTheme="minorHAnsi" w:cstheme="minorHAnsi"/>
          <w:sz w:val="22"/>
          <w:szCs w:val="22"/>
        </w:rPr>
        <w:t>prodávajícího</w:t>
      </w:r>
      <w:r w:rsidRPr="000977F1">
        <w:rPr>
          <w:rFonts w:asciiTheme="minorHAnsi" w:hAnsiTheme="minorHAnsi" w:cstheme="minorHAnsi"/>
          <w:sz w:val="22"/>
          <w:szCs w:val="22"/>
        </w:rPr>
        <w:t xml:space="preserve"> na zvýšení ceny u následujících položek zahrnutých do předmětu </w:t>
      </w:r>
      <w:r w:rsidR="00571A46">
        <w:rPr>
          <w:rFonts w:asciiTheme="minorHAnsi" w:hAnsiTheme="minorHAnsi" w:cstheme="minorHAnsi"/>
          <w:sz w:val="22"/>
          <w:szCs w:val="22"/>
        </w:rPr>
        <w:t>plnění této smlouvy:</w:t>
      </w:r>
    </w:p>
    <w:p w14:paraId="45E25297" w14:textId="49F61092"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65“,</w:t>
      </w:r>
    </w:p>
    <w:p w14:paraId="168753C2" w14:textId="00EFE50C"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75“,</w:t>
      </w:r>
    </w:p>
    <w:p w14:paraId="60A4F857" w14:textId="36A42D35"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86“,</w:t>
      </w:r>
    </w:p>
    <w:p w14:paraId="33D80AA8" w14:textId="6222B021"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Tablet vč. pouzdra,</w:t>
      </w:r>
    </w:p>
    <w:p w14:paraId="021D9BD6" w14:textId="28F6CF1B"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Tablet vč. příslušenství – učitel,</w:t>
      </w:r>
    </w:p>
    <w:p w14:paraId="44F01B30" w14:textId="0E0F311D"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Stylus pro tablet;</w:t>
      </w:r>
    </w:p>
    <w:p w14:paraId="43332C20" w14:textId="3159EEAE" w:rsidR="000977F1" w:rsidRPr="000977F1" w:rsidRDefault="000977F1" w:rsidP="00571A46">
      <w:pPr>
        <w:pStyle w:val="Odstavecseseznamem"/>
        <w:tabs>
          <w:tab w:val="left" w:pos="0"/>
        </w:tabs>
        <w:spacing w:after="120"/>
        <w:ind w:left="567"/>
        <w:jc w:val="both"/>
        <w:rPr>
          <w:rFonts w:asciiTheme="minorHAnsi" w:hAnsiTheme="minorHAnsi" w:cstheme="minorHAnsi"/>
          <w:sz w:val="22"/>
          <w:szCs w:val="22"/>
        </w:rPr>
      </w:pPr>
      <w:r w:rsidRPr="000977F1">
        <w:rPr>
          <w:rFonts w:asciiTheme="minorHAnsi" w:hAnsiTheme="minorHAnsi" w:cstheme="minorHAnsi"/>
          <w:sz w:val="22"/>
          <w:szCs w:val="22"/>
        </w:rPr>
        <w:lastRenderedPageBreak/>
        <w:t xml:space="preserve">a to za situace, kdy dojde ke zvýšení cen shora uvedených položek o více než 30 % v důsledku vstoupení nařízení o uvalení cel v platnost na zboží vyrobené v Číně pro obchodní značku původem ze Spojených států amerických či na základě recipročních cel, uvalených ze strany Evropské unie na výrobky obchodních značek původem z USA, na základě objektivně zjistitelných údajů od Ministerstva financí ČR, resp. od Ministerstva průmyslu a obchodu ČR, případně České tiskové kanceláře či Českého statistického úřadu. Aby mohlo dojít k uplatnění této vyhrazené změny závazku, musí dojít k prokazatelnému zvýšení cen konkrétního výrobku o více než 30 % na základě údajů alespoň ze 2 z výše uvedených 4 zdrojů. Zvýšení ceny musí být podloženo odůvodněním ze strany </w:t>
      </w:r>
      <w:r w:rsidR="00571A46">
        <w:rPr>
          <w:rFonts w:asciiTheme="minorHAnsi" w:hAnsiTheme="minorHAnsi" w:cstheme="minorHAnsi"/>
          <w:sz w:val="22"/>
          <w:szCs w:val="22"/>
        </w:rPr>
        <w:t xml:space="preserve">prodávajícího </w:t>
      </w:r>
      <w:r w:rsidRPr="000977F1">
        <w:rPr>
          <w:rFonts w:asciiTheme="minorHAnsi" w:hAnsiTheme="minorHAnsi" w:cstheme="minorHAnsi"/>
          <w:sz w:val="22"/>
          <w:szCs w:val="22"/>
        </w:rPr>
        <w:t xml:space="preserve">a musí ji předcházet písemná žádost ze strany dodavatele, dodavatel tak na zvýšení ceny nemá automatický nárok. Tato žádost bude dále obsahovat odkaz na některý z výše uvedených, konkrétních, zdrojů informací o zvýšení těchto cen. Předpokládaná hodnota této vyhrazené změny závazku byla kvalifikovaným odhadem, na základě aktuální situace kolem problematiky cel a vývoje jejich potencionální výše, stanovena na 500.000,00 Kč bez DPH </w:t>
      </w:r>
      <w:r w:rsidR="00571A46">
        <w:rPr>
          <w:rFonts w:asciiTheme="minorHAnsi" w:hAnsiTheme="minorHAnsi" w:cstheme="minorHAnsi"/>
          <w:sz w:val="22"/>
          <w:szCs w:val="22"/>
        </w:rPr>
        <w:t>(avšak v kombinaci s vybranými dodávkami taktéž s vyhraněnou změnou závazku v případě plnění smluvního závazku v případě d</w:t>
      </w:r>
      <w:r w:rsidR="00571A46" w:rsidRPr="00571A46">
        <w:rPr>
          <w:rFonts w:asciiTheme="minorHAnsi" w:hAnsiTheme="minorHAnsi" w:cstheme="minorHAnsi"/>
          <w:sz w:val="22"/>
          <w:szCs w:val="22"/>
        </w:rPr>
        <w:t>odávk</w:t>
      </w:r>
      <w:r w:rsidR="00571A46">
        <w:rPr>
          <w:rFonts w:asciiTheme="minorHAnsi" w:hAnsiTheme="minorHAnsi" w:cstheme="minorHAnsi"/>
          <w:sz w:val="22"/>
          <w:szCs w:val="22"/>
        </w:rPr>
        <w:t>y</w:t>
      </w:r>
      <w:r w:rsidR="00571A46" w:rsidRPr="00571A46">
        <w:rPr>
          <w:rFonts w:asciiTheme="minorHAnsi" w:hAnsiTheme="minorHAnsi" w:cstheme="minorHAnsi"/>
          <w:sz w:val="22"/>
          <w:szCs w:val="22"/>
        </w:rPr>
        <w:t xml:space="preserve"> prvků vnitřní konektivity</w:t>
      </w:r>
      <w:r w:rsidR="00571A46">
        <w:rPr>
          <w:rFonts w:asciiTheme="minorHAnsi" w:hAnsiTheme="minorHAnsi" w:cstheme="minorHAnsi"/>
          <w:sz w:val="22"/>
          <w:szCs w:val="22"/>
        </w:rPr>
        <w:t xml:space="preserve">, tj. 4. částí veřejné zakázky </w:t>
      </w:r>
      <w:r w:rsidR="00571A46" w:rsidRPr="00571A46">
        <w:rPr>
          <w:rFonts w:asciiTheme="minorHAnsi" w:hAnsiTheme="minorHAnsi" w:cstheme="minorHAnsi"/>
          <w:sz w:val="22"/>
          <w:szCs w:val="22"/>
        </w:rPr>
        <w:t>„Dodávka didaktických pomůcek a prvků vnitřní konektivity –</w:t>
      </w:r>
      <w:r w:rsidR="00571A46">
        <w:rPr>
          <w:rFonts w:asciiTheme="minorHAnsi" w:hAnsiTheme="minorHAnsi" w:cstheme="minorHAnsi"/>
          <w:sz w:val="22"/>
          <w:szCs w:val="22"/>
        </w:rPr>
        <w:t xml:space="preserve"> </w:t>
      </w:r>
      <w:r w:rsidR="00571A46" w:rsidRPr="00571A46">
        <w:rPr>
          <w:rFonts w:asciiTheme="minorHAnsi" w:hAnsiTheme="minorHAnsi" w:cstheme="minorHAnsi"/>
          <w:sz w:val="22"/>
          <w:szCs w:val="22"/>
        </w:rPr>
        <w:t>Základní škola, Trutnov, R. Frimla 816“</w:t>
      </w:r>
      <w:r w:rsidR="00571A46">
        <w:rPr>
          <w:rFonts w:asciiTheme="minorHAnsi" w:hAnsiTheme="minorHAnsi" w:cstheme="minorHAnsi"/>
          <w:sz w:val="22"/>
          <w:szCs w:val="22"/>
        </w:rPr>
        <w:t xml:space="preserve">) </w:t>
      </w:r>
      <w:r w:rsidRPr="000977F1">
        <w:rPr>
          <w:rFonts w:asciiTheme="minorHAnsi" w:hAnsiTheme="minorHAnsi" w:cstheme="minorHAnsi"/>
          <w:sz w:val="22"/>
          <w:szCs w:val="22"/>
        </w:rPr>
        <w:t xml:space="preserve">a zvýšení u právě jednoho výrobku může být uznáno maximálně do výše původní ceny za tento konkrétní výrobek. Výhrada změny závazku nemusí být zadavatelem využita vůbec, anebo může být využita pouze v částečné výši. </w:t>
      </w:r>
    </w:p>
    <w:p w14:paraId="1561D31D" w14:textId="318A6A69" w:rsidR="000977F1" w:rsidRPr="000861CB" w:rsidRDefault="000977F1" w:rsidP="00571A46">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Dojde-li k aplikaci výše popsané vyhrazené změny závazku, bude uzavřen písemný dodatek ke smlouvě uzavřené mezi </w:t>
      </w:r>
      <w:r w:rsidR="00571A46">
        <w:rPr>
          <w:rFonts w:asciiTheme="minorHAnsi" w:hAnsiTheme="minorHAnsi" w:cstheme="minorHAnsi"/>
          <w:sz w:val="22"/>
          <w:szCs w:val="22"/>
        </w:rPr>
        <w:t>kupujícím a prodávajícím</w:t>
      </w:r>
      <w:r w:rsidRPr="000977F1">
        <w:rPr>
          <w:rFonts w:asciiTheme="minorHAnsi" w:hAnsiTheme="minorHAnsi" w:cstheme="minorHAnsi"/>
          <w:sz w:val="22"/>
          <w:szCs w:val="22"/>
        </w:rPr>
        <w:t>.</w:t>
      </w:r>
    </w:p>
    <w:p w14:paraId="195D7A39" w14:textId="77777777" w:rsidR="00E26A63" w:rsidRPr="00110B6E" w:rsidRDefault="00E26A63" w:rsidP="00E26A63">
      <w:pPr>
        <w:spacing w:after="120"/>
        <w:jc w:val="center"/>
        <w:rPr>
          <w:rFonts w:asciiTheme="minorHAnsi" w:hAnsiTheme="minorHAnsi" w:cstheme="minorHAnsi"/>
          <w:b/>
          <w:sz w:val="22"/>
          <w:szCs w:val="22"/>
        </w:rPr>
      </w:pP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w:t>
      </w:r>
      <w:r w:rsidRPr="00110B6E">
        <w:rPr>
          <w:rFonts w:asciiTheme="minorHAnsi" w:hAnsiTheme="minorHAnsi" w:cstheme="minorHAnsi"/>
        </w:rPr>
        <w:lastRenderedPageBreak/>
        <w:t xml:space="preserve">(dále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zboží musí splňovat veškeré požadavky kupujícího na jakost, provedení a kvalitu, jakož i další 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w:t>
      </w:r>
      <w:r w:rsidRPr="00110B6E">
        <w:rPr>
          <w:rFonts w:asciiTheme="minorHAnsi" w:hAnsiTheme="minorHAnsi" w:cstheme="minorHAnsi"/>
          <w:sz w:val="22"/>
          <w:szCs w:val="22"/>
        </w:rPr>
        <w:lastRenderedPageBreak/>
        <w:t>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zboží - výrobku,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559727A3" w14:textId="283B8881"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prohlašuje, že má sjednáno pojištění odpovědnosti za škodu způsobenou svoj</w:t>
      </w:r>
      <w:r w:rsidR="00DF4736">
        <w:rPr>
          <w:rFonts w:asciiTheme="minorHAnsi" w:hAnsiTheme="minorHAnsi" w:cstheme="minorHAnsi"/>
          <w:sz w:val="22"/>
          <w:szCs w:val="22"/>
        </w:rPr>
        <w:t>í</w:t>
      </w:r>
      <w:r w:rsidRPr="00110B6E">
        <w:rPr>
          <w:rFonts w:asciiTheme="minorHAnsi" w:hAnsiTheme="minorHAnsi" w:cstheme="minorHAnsi"/>
          <w:sz w:val="22"/>
          <w:szCs w:val="22"/>
        </w:rPr>
        <w:t xml:space="preserve"> činností kupujícímu nebo třetím osobám s pojistnou částkou ve výši </w:t>
      </w:r>
      <w:r>
        <w:rPr>
          <w:rFonts w:asciiTheme="minorHAnsi" w:hAnsiTheme="minorHAnsi" w:cstheme="minorHAnsi"/>
          <w:sz w:val="22"/>
          <w:szCs w:val="22"/>
        </w:rPr>
        <w:t xml:space="preserve">min. </w:t>
      </w:r>
      <w:r w:rsidR="006B5BC8">
        <w:rPr>
          <w:rFonts w:asciiTheme="minorHAnsi" w:hAnsiTheme="minorHAnsi" w:cstheme="minorHAnsi"/>
          <w:sz w:val="22"/>
          <w:szCs w:val="22"/>
        </w:rPr>
        <w:t>2,5</w:t>
      </w:r>
      <w:r w:rsidR="00466E5F">
        <w:rPr>
          <w:rFonts w:asciiTheme="minorHAnsi" w:hAnsiTheme="minorHAnsi" w:cstheme="minorHAnsi"/>
          <w:sz w:val="22"/>
          <w:szCs w:val="22"/>
        </w:rPr>
        <w:t xml:space="preserve"> mil</w:t>
      </w:r>
      <w:r>
        <w:rPr>
          <w:rFonts w:asciiTheme="minorHAnsi" w:hAnsiTheme="minorHAnsi" w:cstheme="minorHAnsi"/>
          <w:sz w:val="22"/>
          <w:szCs w:val="22"/>
        </w:rPr>
        <w:t>.</w:t>
      </w:r>
      <w:r w:rsidRPr="00110B6E">
        <w:rPr>
          <w:rFonts w:asciiTheme="minorHAnsi" w:hAnsiTheme="minorHAnsi" w:cstheme="minorHAnsi"/>
          <w:sz w:val="22"/>
          <w:szCs w:val="22"/>
        </w:rPr>
        <w:t xml:space="preserve"> Kč na jednu pojistnou událost s vinkulací ve prospěch kupujícího, a zavazuje se, že bude takto pojištěn po celou dobu trvání této smlouvy. </w:t>
      </w:r>
    </w:p>
    <w:p w14:paraId="22D86EFC" w14:textId="77777777" w:rsidR="00E26A63"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Pojištění dle předchozího odstavce se musí vztahovat jak na skutečnou škodu, tak na ušlý zisk. 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5A2E248B" w:rsidR="00466E5F" w:rsidRPr="00C00E6A" w:rsidRDefault="00466E5F" w:rsidP="00C00E6A">
      <w:pPr>
        <w:pStyle w:val="Odstavecseseznamem1"/>
        <w:numPr>
          <w:ilvl w:val="1"/>
          <w:numId w:val="25"/>
        </w:numPr>
        <w:spacing w:after="120"/>
        <w:ind w:left="709" w:hanging="709"/>
        <w:contextualSpacing w:val="0"/>
        <w:jc w:val="both"/>
        <w:rPr>
          <w:rFonts w:cs="Calibri"/>
        </w:rPr>
      </w:pPr>
      <w:r w:rsidRPr="00C00E6A">
        <w:rPr>
          <w:rFonts w:cs="Calibri"/>
        </w:rPr>
        <w:t xml:space="preserve">Prodávající je povinen uchovávat veškerou dokumentaci související s realizací veřejné zakázky </w:t>
      </w:r>
      <w:r w:rsidR="00DF3078" w:rsidRPr="00C00E6A">
        <w:rPr>
          <w:rFonts w:cs="Calibri"/>
        </w:rPr>
        <w:t>„</w:t>
      </w:r>
      <w:r w:rsidR="00C00E6A" w:rsidRPr="00C00E6A">
        <w:rPr>
          <w:rFonts w:cs="Calibri"/>
        </w:rPr>
        <w:t>Dodávka didaktických pomůcek a prvků vnitřní konektivity – Základní škola, Trutnov, R. Frimla 816</w:t>
      </w:r>
      <w:r w:rsidR="00DF3078" w:rsidRPr="00C00E6A">
        <w:rPr>
          <w:rFonts w:cs="Calibri"/>
        </w:rPr>
        <w:t xml:space="preserve">“, </w:t>
      </w:r>
      <w:r w:rsidR="0060453C">
        <w:rPr>
          <w:rFonts w:cs="Calibri"/>
        </w:rPr>
        <w:t xml:space="preserve">konkrétně </w:t>
      </w:r>
      <w:r w:rsidR="00DF3078" w:rsidRPr="00C00E6A">
        <w:rPr>
          <w:rFonts w:cs="Calibri"/>
        </w:rPr>
        <w:t xml:space="preserve">její </w:t>
      </w:r>
      <w:r w:rsidR="000B6071" w:rsidRPr="000B6071">
        <w:rPr>
          <w:rFonts w:cs="Calibri"/>
          <w:bCs/>
        </w:rPr>
        <w:t>3. část: „Didaktické pomůcky pro výuku – školní dílny, chemie a fyzika“</w:t>
      </w:r>
      <w:r w:rsidRPr="00C00E6A">
        <w:rPr>
          <w:rFonts w:cs="Calibri"/>
        </w:rPr>
        <w:t>, zejména tuto smlouvu včetně jejích případných dodatků</w:t>
      </w:r>
      <w:r w:rsidR="0060453C">
        <w:rPr>
          <w:rFonts w:cs="Calibri"/>
        </w:rPr>
        <w:t xml:space="preserve"> a</w:t>
      </w:r>
      <w:r w:rsidRPr="00C00E6A">
        <w:rPr>
          <w:rFonts w:cs="Calibri"/>
        </w:rPr>
        <w:t xml:space="preserve"> účetních dokladů</w:t>
      </w:r>
      <w:r w:rsidR="0060453C">
        <w:rPr>
          <w:rFonts w:cs="Calibri"/>
        </w:rPr>
        <w:t>,</w:t>
      </w:r>
      <w:r w:rsidRPr="00C00E6A">
        <w:rPr>
          <w:rFonts w:cs="Calibri"/>
        </w:rPr>
        <w:t xml:space="preserve"> po dobu stanovenou právními předpisy ČR, minimálně však do konce roku (</w:t>
      </w:r>
      <w:r w:rsidR="0060453C">
        <w:rPr>
          <w:rFonts w:cs="Calibri"/>
        </w:rPr>
        <w:t xml:space="preserve">do </w:t>
      </w:r>
      <w:r w:rsidRPr="00C00E6A">
        <w:rPr>
          <w:rFonts w:cs="Calibri"/>
        </w:rPr>
        <w:t>31.12.) 2035.</w:t>
      </w:r>
    </w:p>
    <w:p w14:paraId="773BEF81" w14:textId="216C2723"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C00E6A" w:rsidRPr="00C00E6A">
        <w:rPr>
          <w:rFonts w:cs="Calibri"/>
        </w:rPr>
        <w:t>Dodávka didaktických pomůcek a prvků vnitřní konektivity – Základní škola, Trutnov, R. Frimla 816</w:t>
      </w:r>
      <w:r w:rsidR="00DF3078" w:rsidRPr="00DF3078">
        <w:rPr>
          <w:rFonts w:cs="Calibri"/>
        </w:rPr>
        <w:t xml:space="preserve">“, </w:t>
      </w:r>
      <w:r w:rsidR="0060453C">
        <w:rPr>
          <w:rFonts w:cs="Calibri"/>
        </w:rPr>
        <w:t xml:space="preserve">konkrétně </w:t>
      </w:r>
      <w:r w:rsidR="00DF3078" w:rsidRPr="00DF3078">
        <w:rPr>
          <w:rFonts w:cs="Calibri"/>
        </w:rPr>
        <w:t>její</w:t>
      </w:r>
      <w:r w:rsidR="00DF3078">
        <w:rPr>
          <w:rFonts w:cs="Calibri"/>
        </w:rPr>
        <w:t xml:space="preserve"> </w:t>
      </w:r>
      <w:r w:rsidR="000B6071" w:rsidRPr="000B6071">
        <w:rPr>
          <w:rFonts w:cs="Calibri"/>
          <w:bCs/>
        </w:rPr>
        <w:t>3. část: „Didaktické pomůcky pro výuku – školní dílny, chemie a fyzika“</w:t>
      </w:r>
      <w:r w:rsidR="007A39C1" w:rsidRPr="00DF3078">
        <w:rPr>
          <w:rFonts w:cs="Calibri"/>
          <w:bCs/>
        </w:rPr>
        <w:t xml:space="preserve"> </w:t>
      </w:r>
      <w:r w:rsidRPr="000861CB">
        <w:rPr>
          <w:rFonts w:cs="Calibri"/>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66C9606" w14:textId="41378565"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w:t>
      </w:r>
      <w:r w:rsidRPr="005709FE">
        <w:rPr>
          <w:rFonts w:asciiTheme="minorHAnsi" w:hAnsiTheme="minorHAnsi" w:cstheme="minorHAnsi"/>
          <w:sz w:val="22"/>
          <w:szCs w:val="22"/>
        </w:rPr>
        <w:t xml:space="preserve">je povinen zaplatit kupujícímu smluvní pokutu ve výši </w:t>
      </w:r>
      <w:r w:rsidR="005C3C7B">
        <w:rPr>
          <w:rFonts w:asciiTheme="minorHAnsi" w:hAnsiTheme="minorHAnsi" w:cstheme="minorHAnsi"/>
          <w:sz w:val="22"/>
          <w:szCs w:val="22"/>
        </w:rPr>
        <w:t>5</w:t>
      </w:r>
      <w:r w:rsidRPr="005709FE">
        <w:rPr>
          <w:rFonts w:asciiTheme="minorHAnsi" w:hAnsiTheme="minorHAnsi" w:cstheme="minorHAnsi"/>
          <w:sz w:val="22"/>
          <w:szCs w:val="22"/>
        </w:rPr>
        <w:t>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Pr="005709FE">
        <w:rPr>
          <w:rFonts w:asciiTheme="minorHAnsi" w:hAnsiTheme="minorHAnsi" w:cstheme="minorHAnsi"/>
          <w:sz w:val="22"/>
          <w:szCs w:val="22"/>
        </w:rPr>
        <w:t xml:space="preserve"> Kč za každý den prodlení s předložením platného dokladu o pojištění od výzvy kupujícího dle odstavce 7.</w:t>
      </w:r>
      <w:r w:rsidR="000861CB" w:rsidRPr="005709FE">
        <w:rPr>
          <w:rFonts w:asciiTheme="minorHAnsi" w:hAnsiTheme="minorHAnsi" w:cstheme="minorHAnsi"/>
          <w:sz w:val="22"/>
          <w:szCs w:val="22"/>
        </w:rPr>
        <w:t>8</w:t>
      </w:r>
      <w:r w:rsidRPr="005709FE">
        <w:rPr>
          <w:rFonts w:asciiTheme="minorHAnsi" w:hAnsiTheme="minorHAnsi" w:cstheme="minorHAnsi"/>
          <w:sz w:val="22"/>
          <w:szCs w:val="22"/>
        </w:rPr>
        <w:t xml:space="preserve"> této smlouvy.</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40EA39BE" w14:textId="2EE87205"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ukáže se jako nepravdivé prohlášení prodávajícího uvedené v odstavci 7.8.</w:t>
      </w:r>
      <w:r w:rsidR="0060453C">
        <w:rPr>
          <w:rFonts w:asciiTheme="minorHAnsi" w:hAnsiTheme="minorHAnsi" w:cstheme="minorHAnsi"/>
          <w:sz w:val="22"/>
          <w:szCs w:val="22"/>
        </w:rPr>
        <w:t xml:space="preserve"> čl. 7 této smlouvy</w:t>
      </w:r>
      <w:r w:rsidRPr="00110B6E">
        <w:rPr>
          <w:rFonts w:asciiTheme="minorHAnsi" w:hAnsiTheme="minorHAnsi" w:cstheme="minorHAnsi"/>
          <w:sz w:val="22"/>
          <w:szCs w:val="22"/>
        </w:rPr>
        <w:t xml:space="preserve">, nebo pojištění prodávajícího pozbude platnosti; </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lastRenderedPageBreak/>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lastRenderedPageBreak/>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326807F4" w14:textId="1CD3E8ED"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Pr>
          <w:rFonts w:asciiTheme="minorHAnsi" w:hAnsiTheme="minorHAnsi" w:cstheme="minorHAnsi"/>
          <w:b w:val="0"/>
          <w:bCs w:val="0"/>
          <w:i w:val="0"/>
          <w:sz w:val="22"/>
          <w:szCs w:val="22"/>
        </w:rPr>
        <w:t>V</w:t>
      </w:r>
      <w:r w:rsidR="005C3C7B">
        <w:rPr>
          <w:rFonts w:asciiTheme="minorHAnsi" w:hAnsiTheme="minorHAnsi" w:cstheme="minorHAnsi"/>
          <w:b w:val="0"/>
          <w:bCs w:val="0"/>
          <w:i w:val="0"/>
          <w:sz w:val="22"/>
          <w:szCs w:val="22"/>
        </w:rPr>
        <w:t> </w:t>
      </w:r>
      <w:r w:rsidR="00E36A7D">
        <w:rPr>
          <w:rFonts w:asciiTheme="minorHAnsi" w:hAnsiTheme="minorHAnsi" w:cstheme="minorHAnsi"/>
          <w:b w:val="0"/>
          <w:bCs w:val="0"/>
          <w:i w:val="0"/>
          <w:sz w:val="22"/>
          <w:szCs w:val="22"/>
        </w:rPr>
        <w:t>Trutnově</w:t>
      </w:r>
      <w:r w:rsidR="005C3C7B">
        <w:rPr>
          <w:rFonts w:asciiTheme="minorHAnsi" w:hAnsiTheme="minorHAnsi" w:cstheme="minorHAnsi"/>
          <w:b w:val="0"/>
          <w:bCs w:val="0"/>
          <w:i w:val="0"/>
          <w:sz w:val="22"/>
          <w:szCs w:val="22"/>
        </w:rPr>
        <w:t>,</w:t>
      </w:r>
      <w:r>
        <w:rPr>
          <w:rFonts w:asciiTheme="minorHAnsi" w:hAnsiTheme="minorHAnsi" w:cstheme="minorHAnsi"/>
          <w:b w:val="0"/>
          <w:bCs w:val="0"/>
          <w:i w:val="0"/>
          <w:sz w:val="22"/>
          <w:szCs w:val="22"/>
        </w:rPr>
        <w:t xml:space="preserve"> dne </w:t>
      </w:r>
      <w:r w:rsidRPr="00110B6E">
        <w:rPr>
          <w:rFonts w:asciiTheme="minorHAnsi" w:hAnsiTheme="minorHAnsi" w:cstheme="minorHAnsi"/>
          <w:b w:val="0"/>
          <w:bCs w:val="0"/>
          <w:i w:val="0"/>
          <w:sz w:val="22"/>
          <w:szCs w:val="22"/>
        </w:rPr>
        <w:t xml:space="preserve"> ___________</w:t>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00E36A7D">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V</w:t>
      </w:r>
      <w:r w:rsidRPr="00110B6E">
        <w:rPr>
          <w:rFonts w:asciiTheme="minorHAnsi" w:hAnsiTheme="minorHAnsi" w:cstheme="minorHAnsi"/>
          <w:b w:val="0"/>
          <w:bCs w:val="0"/>
          <w:i w:val="0"/>
          <w:sz w:val="22"/>
          <w:szCs w:val="22"/>
          <w:highlight w:val="yellow"/>
        </w:rPr>
        <w:t>__________</w:t>
      </w:r>
      <w:r>
        <w:rPr>
          <w:rFonts w:asciiTheme="minorHAnsi" w:hAnsiTheme="minorHAnsi" w:cstheme="minorHAnsi"/>
          <w:b w:val="0"/>
          <w:bCs w:val="0"/>
          <w:i w:val="0"/>
          <w:sz w:val="22"/>
          <w:szCs w:val="22"/>
          <w:highlight w:val="yellow"/>
        </w:rPr>
        <w:t>_</w:t>
      </w:r>
      <w:r w:rsidRPr="00110B6E">
        <w:rPr>
          <w:rFonts w:asciiTheme="minorHAnsi" w:hAnsiTheme="minorHAnsi" w:cstheme="minorHAnsi"/>
          <w:b w:val="0"/>
          <w:bCs w:val="0"/>
          <w:i w:val="0"/>
          <w:sz w:val="22"/>
          <w:szCs w:val="22"/>
          <w:highlight w:val="yellow"/>
        </w:rPr>
        <w:t>_______</w:t>
      </w:r>
      <w:r w:rsidRPr="00110B6E">
        <w:rPr>
          <w:rFonts w:asciiTheme="minorHAnsi" w:hAnsiTheme="minorHAnsi" w:cstheme="minorHAnsi"/>
          <w:b w:val="0"/>
          <w:bCs w:val="0"/>
          <w:i w:val="0"/>
          <w:sz w:val="22"/>
          <w:szCs w:val="22"/>
        </w:rPr>
        <w:t xml:space="preserve"> , dne </w:t>
      </w:r>
      <w:r w:rsidRPr="00110B6E">
        <w:rPr>
          <w:rFonts w:asciiTheme="minorHAnsi" w:hAnsiTheme="minorHAnsi" w:cstheme="minorHAnsi"/>
          <w:b w:val="0"/>
          <w:i w:val="0"/>
          <w:sz w:val="22"/>
          <w:szCs w:val="22"/>
          <w:highlight w:val="yellow"/>
        </w:rPr>
        <w:t>_____________</w:t>
      </w:r>
    </w:p>
    <w:p w14:paraId="5C05E61E" w14:textId="77777777" w:rsidR="00E26A63" w:rsidRPr="00110B6E" w:rsidRDefault="00E26A63" w:rsidP="00E26A63">
      <w:pPr>
        <w:pStyle w:val="Nadpis5"/>
        <w:spacing w:before="0" w:after="120"/>
        <w:jc w:val="both"/>
        <w:rPr>
          <w:rFonts w:asciiTheme="minorHAnsi" w:hAnsiTheme="minorHAnsi" w:cstheme="minorHAnsi"/>
          <w:b w:val="0"/>
          <w:i w:val="0"/>
          <w:iCs w:val="0"/>
          <w:sz w:val="22"/>
          <w:szCs w:val="22"/>
        </w:rPr>
      </w:pPr>
    </w:p>
    <w:p w14:paraId="6959FBDD"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sidRPr="00110B6E">
        <w:rPr>
          <w:rFonts w:asciiTheme="minorHAnsi" w:hAnsiTheme="minorHAnsi" w:cstheme="minorHAnsi"/>
          <w:b w:val="0"/>
          <w:i w:val="0"/>
          <w:iCs w:val="0"/>
          <w:sz w:val="22"/>
          <w:szCs w:val="22"/>
        </w:rPr>
        <w:t>Za kupujícího:</w:t>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0C032F">
        <w:rPr>
          <w:rFonts w:asciiTheme="minorHAnsi" w:hAnsiTheme="minorHAnsi" w:cstheme="minorHAnsi"/>
          <w:b w:val="0"/>
          <w:i w:val="0"/>
          <w:iCs w:val="0"/>
          <w:sz w:val="22"/>
          <w:szCs w:val="22"/>
        </w:rPr>
        <w:t>Za prodávajícího:</w:t>
      </w:r>
    </w:p>
    <w:p w14:paraId="3C204DDD" w14:textId="77777777" w:rsidR="00E26A63" w:rsidRDefault="00E26A63" w:rsidP="00E26A63">
      <w:pPr>
        <w:spacing w:after="120"/>
        <w:rPr>
          <w:rFonts w:asciiTheme="minorHAnsi" w:hAnsiTheme="minorHAnsi" w:cstheme="minorHAnsi"/>
          <w:sz w:val="22"/>
          <w:szCs w:val="22"/>
        </w:rPr>
      </w:pPr>
    </w:p>
    <w:p w14:paraId="3E57E570" w14:textId="77777777" w:rsidR="00E26A63" w:rsidRDefault="00E26A63" w:rsidP="00E26A63">
      <w:pPr>
        <w:spacing w:after="120"/>
        <w:rPr>
          <w:rFonts w:asciiTheme="minorHAnsi" w:hAnsiTheme="minorHAnsi" w:cstheme="minorHAnsi"/>
          <w:sz w:val="22"/>
          <w:szCs w:val="22"/>
        </w:rPr>
      </w:pPr>
    </w:p>
    <w:p w14:paraId="4D09BE79" w14:textId="77777777" w:rsidR="00E26A63" w:rsidRPr="00110B6E" w:rsidRDefault="00E26A63" w:rsidP="00E26A63">
      <w:pPr>
        <w:spacing w:after="120"/>
        <w:rPr>
          <w:rFonts w:asciiTheme="minorHAnsi" w:hAnsiTheme="minorHAnsi" w:cstheme="minorHAnsi"/>
          <w:sz w:val="22"/>
          <w:szCs w:val="22"/>
        </w:rPr>
      </w:pPr>
    </w:p>
    <w:p w14:paraId="09DCF80F" w14:textId="78ABB122" w:rsidR="00E26A63" w:rsidRPr="00110B6E" w:rsidRDefault="00E26A63" w:rsidP="00E26A63">
      <w:pPr>
        <w:spacing w:after="120"/>
        <w:rPr>
          <w:rFonts w:asciiTheme="minorHAnsi" w:hAnsiTheme="minorHAnsi" w:cstheme="minorHAnsi"/>
          <w:sz w:val="22"/>
          <w:szCs w:val="22"/>
        </w:rPr>
      </w:pPr>
      <w:r w:rsidRPr="00110B6E">
        <w:rPr>
          <w:rFonts w:asciiTheme="minorHAnsi" w:hAnsiTheme="minorHAnsi" w:cstheme="minorHAnsi"/>
          <w:sz w:val="22"/>
          <w:szCs w:val="22"/>
        </w:rPr>
        <w:t>_________________</w:t>
      </w:r>
      <w:r w:rsidR="00E36A7D">
        <w:rPr>
          <w:rFonts w:asciiTheme="minorHAnsi" w:hAnsiTheme="minorHAnsi" w:cstheme="minorHAnsi"/>
          <w:sz w:val="22"/>
          <w:szCs w:val="22"/>
        </w:rPr>
        <w:t>_____</w:t>
      </w:r>
      <w:r w:rsidRPr="00110B6E">
        <w:rPr>
          <w:rFonts w:asciiTheme="minorHAnsi" w:hAnsiTheme="minorHAnsi" w:cstheme="minorHAnsi"/>
          <w:sz w:val="22"/>
          <w:szCs w:val="22"/>
        </w:rPr>
        <w:t>__________</w:t>
      </w:r>
      <w:r w:rsidRPr="00110B6E">
        <w:rPr>
          <w:rFonts w:asciiTheme="minorHAnsi" w:hAnsiTheme="minorHAnsi" w:cstheme="minorHAnsi"/>
          <w:sz w:val="22"/>
          <w:szCs w:val="22"/>
        </w:rPr>
        <w:tab/>
      </w:r>
      <w:r w:rsidRPr="00110B6E">
        <w:rPr>
          <w:rFonts w:asciiTheme="minorHAnsi" w:hAnsiTheme="minorHAnsi" w:cstheme="minorHAnsi"/>
          <w:sz w:val="22"/>
          <w:szCs w:val="22"/>
        </w:rPr>
        <w:tab/>
      </w:r>
      <w:r w:rsidR="00E36A7D">
        <w:rPr>
          <w:rFonts w:asciiTheme="minorHAnsi" w:hAnsiTheme="minorHAnsi" w:cstheme="minorHAnsi"/>
          <w:sz w:val="22"/>
          <w:szCs w:val="22"/>
        </w:rPr>
        <w:tab/>
      </w:r>
      <w:r w:rsidRPr="00110B6E">
        <w:rPr>
          <w:rFonts w:asciiTheme="minorHAnsi" w:hAnsiTheme="minorHAnsi" w:cstheme="minorHAnsi"/>
          <w:sz w:val="22"/>
          <w:szCs w:val="22"/>
        </w:rPr>
        <w:t>____________________________</w:t>
      </w:r>
    </w:p>
    <w:p w14:paraId="7D251197" w14:textId="334B7030" w:rsidR="00E26A63" w:rsidRPr="00110B6E" w:rsidRDefault="00466E5F" w:rsidP="00E26A63">
      <w:pPr>
        <w:pStyle w:val="Nadpis2"/>
        <w:jc w:val="left"/>
        <w:rPr>
          <w:rFonts w:asciiTheme="minorHAnsi" w:hAnsiTheme="minorHAnsi" w:cstheme="minorHAnsi"/>
          <w:b w:val="0"/>
          <w:sz w:val="22"/>
          <w:szCs w:val="22"/>
        </w:rPr>
      </w:pPr>
      <w:r>
        <w:rPr>
          <w:rFonts w:asciiTheme="minorHAnsi" w:hAnsiTheme="minorHAnsi" w:cstheme="minorHAnsi"/>
          <w:b w:val="0"/>
          <w:sz w:val="22"/>
          <w:szCs w:val="22"/>
        </w:rPr>
        <w:t xml:space="preserve"> </w:t>
      </w:r>
      <w:r w:rsidR="00DF3078" w:rsidRPr="00DF3078">
        <w:rPr>
          <w:rFonts w:asciiTheme="minorHAnsi" w:hAnsiTheme="minorHAnsi" w:cstheme="minorHAnsi"/>
          <w:b w:val="0"/>
          <w:sz w:val="22"/>
          <w:szCs w:val="22"/>
        </w:rPr>
        <w:t>Mgr. Jitka Libřická, ředitelka</w:t>
      </w:r>
      <w:r w:rsidR="00B95DEA">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36A7D">
        <w:rPr>
          <w:rFonts w:asciiTheme="minorHAnsi" w:hAnsiTheme="minorHAnsi" w:cstheme="minorHAnsi"/>
          <w:b w:val="0"/>
          <w:sz w:val="22"/>
          <w:szCs w:val="22"/>
        </w:rPr>
        <w:t xml:space="preserve">    </w:t>
      </w:r>
      <w:r w:rsidR="00DF3078">
        <w:rPr>
          <w:rFonts w:asciiTheme="minorHAnsi" w:hAnsiTheme="minorHAnsi" w:cstheme="minorHAnsi"/>
          <w:b w:val="0"/>
          <w:sz w:val="22"/>
          <w:szCs w:val="22"/>
        </w:rPr>
        <w:tab/>
        <w:t xml:space="preserve">     </w:t>
      </w:r>
      <w:r w:rsidRPr="00D93BA9">
        <w:rPr>
          <w:rFonts w:ascii="Calibri" w:hAnsi="Calibri" w:cs="Calibri"/>
          <w:sz w:val="22"/>
          <w:szCs w:val="22"/>
          <w:highlight w:val="yellow"/>
        </w:rPr>
        <w:t>………………………………</w:t>
      </w:r>
      <w:r>
        <w:rPr>
          <w:rFonts w:ascii="Calibri" w:hAnsi="Calibri" w:cs="Calibri"/>
          <w:sz w:val="22"/>
          <w:szCs w:val="22"/>
          <w:highlight w:val="yellow"/>
        </w:rPr>
        <w:t xml:space="preserve">, </w:t>
      </w:r>
      <w:r w:rsidRPr="00D93BA9">
        <w:rPr>
          <w:rFonts w:ascii="Calibri" w:hAnsi="Calibri" w:cs="Calibri"/>
          <w:sz w:val="22"/>
          <w:szCs w:val="22"/>
          <w:highlight w:val="yellow"/>
        </w:rPr>
        <w:t>…………</w:t>
      </w:r>
      <w:r w:rsidR="00E26A63" w:rsidRPr="00110B6E">
        <w:rPr>
          <w:rFonts w:asciiTheme="minorHAnsi" w:hAnsiTheme="minorHAnsi" w:cstheme="minorHAnsi"/>
          <w:b w:val="0"/>
          <w:sz w:val="22"/>
          <w:szCs w:val="22"/>
        </w:rPr>
        <w:tab/>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B4B2F" w14:textId="77777777" w:rsidR="006C3197" w:rsidRDefault="006C3197" w:rsidP="00C9074E">
      <w:r>
        <w:separator/>
      </w:r>
    </w:p>
  </w:endnote>
  <w:endnote w:type="continuationSeparator" w:id="0">
    <w:p w14:paraId="5057630D" w14:textId="77777777" w:rsidR="006C3197" w:rsidRDefault="006C3197"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1B7A" w14:textId="77777777" w:rsidR="006C3197" w:rsidRDefault="006C3197" w:rsidP="00C9074E">
      <w:r>
        <w:separator/>
      </w:r>
    </w:p>
  </w:footnote>
  <w:footnote w:type="continuationSeparator" w:id="0">
    <w:p w14:paraId="17DD36D7" w14:textId="77777777" w:rsidR="006C3197" w:rsidRDefault="006C3197"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8"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3"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0"/>
  </w:num>
  <w:num w:numId="2">
    <w:abstractNumId w:val="4"/>
  </w:num>
  <w:num w:numId="3">
    <w:abstractNumId w:val="31"/>
  </w:num>
  <w:num w:numId="4">
    <w:abstractNumId w:val="26"/>
  </w:num>
  <w:num w:numId="5">
    <w:abstractNumId w:val="29"/>
  </w:num>
  <w:num w:numId="6">
    <w:abstractNumId w:val="8"/>
  </w:num>
  <w:num w:numId="7">
    <w:abstractNumId w:val="34"/>
  </w:num>
  <w:num w:numId="8">
    <w:abstractNumId w:val="22"/>
  </w:num>
  <w:num w:numId="9">
    <w:abstractNumId w:val="23"/>
  </w:num>
  <w:num w:numId="10">
    <w:abstractNumId w:val="15"/>
  </w:num>
  <w:num w:numId="11">
    <w:abstractNumId w:val="12"/>
  </w:num>
  <w:num w:numId="12">
    <w:abstractNumId w:val="0"/>
  </w:num>
  <w:num w:numId="13">
    <w:abstractNumId w:val="32"/>
  </w:num>
  <w:num w:numId="14">
    <w:abstractNumId w:val="2"/>
  </w:num>
  <w:num w:numId="15">
    <w:abstractNumId w:val="20"/>
  </w:num>
  <w:num w:numId="16">
    <w:abstractNumId w:val="18"/>
  </w:num>
  <w:num w:numId="17">
    <w:abstractNumId w:val="5"/>
  </w:num>
  <w:num w:numId="18">
    <w:abstractNumId w:val="10"/>
  </w:num>
  <w:num w:numId="19">
    <w:abstractNumId w:val="17"/>
  </w:num>
  <w:num w:numId="20">
    <w:abstractNumId w:val="25"/>
  </w:num>
  <w:num w:numId="21">
    <w:abstractNumId w:val="3"/>
  </w:num>
  <w:num w:numId="22">
    <w:abstractNumId w:val="24"/>
  </w:num>
  <w:num w:numId="23">
    <w:abstractNumId w:val="13"/>
  </w:num>
  <w:num w:numId="24">
    <w:abstractNumId w:val="7"/>
  </w:num>
  <w:num w:numId="25">
    <w:abstractNumId w:val="27"/>
  </w:num>
  <w:num w:numId="26">
    <w:abstractNumId w:val="11"/>
  </w:num>
  <w:num w:numId="27">
    <w:abstractNumId w:val="35"/>
  </w:num>
  <w:num w:numId="28">
    <w:abstractNumId w:val="19"/>
  </w:num>
  <w:num w:numId="29">
    <w:abstractNumId w:val="28"/>
  </w:num>
  <w:num w:numId="30">
    <w:abstractNumId w:val="1"/>
  </w:num>
  <w:num w:numId="31">
    <w:abstractNumId w:val="16"/>
  </w:num>
  <w:num w:numId="32">
    <w:abstractNumId w:val="33"/>
  </w:num>
  <w:num w:numId="33">
    <w:abstractNumId w:val="14"/>
  </w:num>
  <w:num w:numId="34">
    <w:abstractNumId w:val="9"/>
  </w:num>
  <w:num w:numId="35">
    <w:abstractNumId w:val="21"/>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B6071"/>
    <w:rsid w:val="000D6D68"/>
    <w:rsid w:val="00105DB6"/>
    <w:rsid w:val="0011560F"/>
    <w:rsid w:val="001C76DE"/>
    <w:rsid w:val="001D6954"/>
    <w:rsid w:val="002907E5"/>
    <w:rsid w:val="003A7539"/>
    <w:rsid w:val="00422627"/>
    <w:rsid w:val="00423203"/>
    <w:rsid w:val="00466E5F"/>
    <w:rsid w:val="004972C1"/>
    <w:rsid w:val="004B7140"/>
    <w:rsid w:val="005600B9"/>
    <w:rsid w:val="005709FE"/>
    <w:rsid w:val="00571A46"/>
    <w:rsid w:val="0058667A"/>
    <w:rsid w:val="005A1D32"/>
    <w:rsid w:val="005C3C7B"/>
    <w:rsid w:val="0060453C"/>
    <w:rsid w:val="0063268A"/>
    <w:rsid w:val="00655EBE"/>
    <w:rsid w:val="006B35F8"/>
    <w:rsid w:val="006B5BC8"/>
    <w:rsid w:val="006C04E9"/>
    <w:rsid w:val="006C3197"/>
    <w:rsid w:val="006D6263"/>
    <w:rsid w:val="00717264"/>
    <w:rsid w:val="00756A93"/>
    <w:rsid w:val="0076704E"/>
    <w:rsid w:val="00783A8F"/>
    <w:rsid w:val="0078484C"/>
    <w:rsid w:val="007A39C1"/>
    <w:rsid w:val="007D000E"/>
    <w:rsid w:val="009003DB"/>
    <w:rsid w:val="00974330"/>
    <w:rsid w:val="00980A25"/>
    <w:rsid w:val="00AF47A3"/>
    <w:rsid w:val="00B002DE"/>
    <w:rsid w:val="00B2783F"/>
    <w:rsid w:val="00B42452"/>
    <w:rsid w:val="00B533B8"/>
    <w:rsid w:val="00B56F20"/>
    <w:rsid w:val="00B835C0"/>
    <w:rsid w:val="00B95DEA"/>
    <w:rsid w:val="00BD36A7"/>
    <w:rsid w:val="00BE13C6"/>
    <w:rsid w:val="00BF7E4F"/>
    <w:rsid w:val="00C00E6A"/>
    <w:rsid w:val="00C9074E"/>
    <w:rsid w:val="00CD5397"/>
    <w:rsid w:val="00D701CC"/>
    <w:rsid w:val="00DE7AAD"/>
    <w:rsid w:val="00DF3078"/>
    <w:rsid w:val="00DF4736"/>
    <w:rsid w:val="00E12B82"/>
    <w:rsid w:val="00E22224"/>
    <w:rsid w:val="00E26A63"/>
    <w:rsid w:val="00E36A7D"/>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4935</Words>
  <Characters>29122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2025-04-17T16:31:00Z</dcterms:created>
  <dcterms:modified xsi:type="dcterms:W3CDTF">2025-04-17T16:31:00Z</dcterms:modified>
</cp:coreProperties>
</file>